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charts/_rels/chart34.xml.rels" ContentType="application/vnd.openxmlformats-package.relationships+xml"/>
  <Override PartName="/word/charts/_rels/chart4.xml.rels" ContentType="application/vnd.openxmlformats-package.relationships+xml"/>
  <Override PartName="/word/charts/_rels/chart17.xml.rels" ContentType="application/vnd.openxmlformats-package.relationships+xml"/>
  <Override PartName="/word/charts/_rels/chart5.xml.rels" ContentType="application/vnd.openxmlformats-package.relationships+xml"/>
  <Override PartName="/word/charts/_rels/chart7.xml.rels" ContentType="application/vnd.openxmlformats-package.relationships+xml"/>
  <Override PartName="/word/charts/_rels/chart8.xml.rels" ContentType="application/vnd.openxmlformats-package.relationships+xml"/>
  <Override PartName="/word/charts/_rels/chart9.xml.rels" ContentType="application/vnd.openxmlformats-package.relationships+xml"/>
  <Override PartName="/word/charts/chart2.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6.xml" ContentType="application/vnd.openxmlformats-officedocument.drawingml.chart+xml"/>
  <Override PartName="/word/charts/chart15.xml" ContentType="application/vnd.openxmlformats-officedocument.drawingml.chart+xml"/>
  <Override PartName="/word/charts/chart14.xml" ContentType="application/vnd.openxmlformats-officedocument.drawingml.chart+xml"/>
  <Override PartName="/word/charts/chart13.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10.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4.xml" ContentType="application/vnd.openxmlformats-officedocument.drawingml.chart+xml"/>
  <Override PartName="/word/charts/chart33.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2.xml" ContentType="application/vnd.openxmlformats-officedocument.drawingml.chart+xml"/>
  <Override PartName="/word/charts/chart31.xml" ContentType="application/vnd.openxmlformats-officedocument.drawingml.chart+xml"/>
  <Override PartName="/word/charts/chart30.xml" ContentType="application/vnd.openxmlformats-officedocument.drawingml.chart+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3.xml" ContentType="application/vnd.openxmlformats-officedocument.wordprocessingml.header+xml"/>
  <Override PartName="/word/settings.xml" ContentType="application/vnd.openxmlformats-officedocument.wordprocessingml.settings+xml"/>
  <Override PartName="/word/header4.xml" ContentType="application/vnd.openxmlformats-officedocument.wordprocessingml.header+xml"/>
  <Override PartName="/word/embeddings/Microsoft_Excel_Worksheet6.xlsx" ContentType="application/vnd.openxmlformats-officedocument.spreadsheetml.sheet"/>
  <Override PartName="/word/embeddings/Microsoft_Excel_Worksheet2.xlsx" ContentType="application/vnd.openxmlformats-officedocument.spreadsheetml.sheet"/>
  <Override PartName="/word/embeddings/Microsoft_Excel_Worksheet7.xlsx" ContentType="application/vnd.openxmlformats-officedocument.spreadsheetml.sheet"/>
  <Override PartName="/word/embeddings/Microsoft_Excel_Worksheet1.xlsx" ContentType="application/vnd.openxmlformats-officedocument.spreadsheetml.sheet"/>
  <Override PartName="/word/embeddings/Microsoft_Excel_Worksheet3.xlsx" ContentType="application/vnd.openxmlformats-officedocument.spreadsheetml.sheet"/>
  <Override PartName="/word/embeddings/Microsoft_Excel_Worksheet4.xlsx" ContentType="application/vnd.openxmlformats-officedocument.spreadsheetml.sheet"/>
  <Override PartName="/word/embeddings/Microsoft_Excel_Worksheet5.xlsx" ContentType="application/vnd.openxmlformats-officedocument.spreadsheetml.sheet"/>
  <Override PartName="/word/fontTable.xml" ContentType="application/vnd.openxmlformats-officedocument.wordprocessingml.fontTable+xml"/>
  <Override PartName="/word/_rels/document.xml.rels" ContentType="application/vnd.openxmlformats-package.relationships+xml"/>
  <Override PartName="/word/header6.xml" ContentType="application/vnd.openxmlformats-officedocument.wordprocessingml.header+xml"/>
  <Override PartName="/word/header5.xml" ContentType="application/vnd.openxmlformats-officedocument.wordprocessingml.header+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CellMar>
          <w:top w:w="0" w:type="dxa"/>
          <w:left w:w="108" w:type="dxa"/>
          <w:bottom w:w="0" w:type="dxa"/>
          <w:right w:w="108" w:type="dxa"/>
        </w:tblCellMar>
        <w:tblLook w:noVBand="1" w:val="04a0" w:noHBand="0" w:lastColumn="0" w:firstColumn="1" w:lastRow="0" w:firstRow="1"/>
      </w:tblPr>
      <w:tblGrid>
        <w:gridCol w:w="9638"/>
      </w:tblGrid>
      <w:tr>
        <w:trPr>
          <w:trHeight w:val="2880" w:hRule="atLeast"/>
        </w:trPr>
        <w:tc>
          <w:tcPr>
            <w:tcW w:w="9638" w:type="dxa"/>
            <w:tcBorders/>
            <w:shd w:fill="auto" w:val="clear"/>
          </w:tcPr>
          <w:sdt>
            <w:sdtPr>
              <w:text/>
              <w:id w:val="1313144514"/>
              <w:dataBinding w:prefixMappings="xmlns:ns0='http://schemas.openxmlformats.org/officeDocument/2006/extended-properties'" w:xpath="/ns0:Properties[1]/ns0:Company[1]" w:storeItemID="{6668398D-A668-4E3E-A5EB-62B293D839F1}"/>
              <w:alias w:val="Организация"/>
            </w:sdtPr>
            <w:sdtContent>
              <w:p>
                <w:pPr>
                  <w:pStyle w:val="NoSpacing"/>
                  <w:jc w:val="center"/>
                  <w:rPr>
                    <w:rFonts w:ascii="Times New Roman" w:hAnsi="Times New Roman" w:eastAsia="" w:eastAsiaTheme="majorEastAsia"/>
                    <w:caps/>
                  </w:rPr>
                </w:pPr>
                <w:r>
                  <w:rPr>
                    <w:rFonts w:eastAsia="" w:ascii="Times New Roman" w:hAnsi="Times New Roman" w:eastAsiaTheme="majorEastAsia"/>
                    <w:caps/>
                  </w:rPr>
                  <w:t>Автономная некоммерческая организация                                                                                   «центр стратегических исследований ульяновской области»</w:t>
                </w:r>
              </w:p>
            </w:sdtContent>
          </w:sdt>
        </w:tc>
      </w:tr>
      <w:tr>
        <w:trPr>
          <w:trHeight w:val="1440" w:hRule="atLeast"/>
        </w:trPr>
        <w:tc>
          <w:tcPr>
            <w:tcW w:w="9638" w:type="dxa"/>
            <w:tcBorders>
              <w:bottom w:val="single" w:sz="4" w:space="0" w:color="6F6F74"/>
            </w:tcBorders>
            <w:shd w:fill="auto" w:val="clear"/>
            <w:vAlign w:val="center"/>
          </w:tcPr>
          <w:sdt>
            <w:sdtPr>
              <w:text/>
              <w:id w:val="1950181669"/>
              <w:dataBinding w:prefixMappings="xmlns:ns0='http://schemas.openxmlformats.org/package/2006/metadata/core-properties' xmlns:ns1='http://purl.org/dc/elements/1.1/'" w:xpath="/ns0:coreProperties[1]/ns1:title[1]" w:storeItemID="{6C3C8BC8-F283-45AE-878A-BAB7291924A1}"/>
              <w:alias w:val="Название"/>
            </w:sdtPr>
            <w:sdtContent>
              <w:p>
                <w:pPr>
                  <w:pStyle w:val="NoSpacing"/>
                  <w:jc w:val="center"/>
                  <w:rPr>
                    <w:rFonts w:ascii="Times New Roman" w:hAnsi="Times New Roman" w:eastAsia="" w:eastAsiaTheme="majorEastAsia"/>
                    <w:sz w:val="80"/>
                    <w:szCs w:val="80"/>
                  </w:rPr>
                </w:pPr>
                <w:r>
                  <w:rPr>
                    <w:rFonts w:eastAsia="" w:ascii="Times New Roman" w:hAnsi="Times New Roman" w:eastAsiaTheme="majorEastAsia"/>
                    <w:sz w:val="80"/>
                    <w:szCs w:val="80"/>
                  </w:rPr>
                  <w:t>ОТЧЁТ                                         о результатах научно-исследовательской работы</w:t>
                </w:r>
              </w:p>
            </w:sdtContent>
          </w:sdt>
        </w:tc>
      </w:tr>
      <w:tr>
        <w:trPr>
          <w:trHeight w:val="720" w:hRule="atLeast"/>
        </w:trPr>
        <w:tc>
          <w:tcPr>
            <w:tcW w:w="9638" w:type="dxa"/>
            <w:tcBorders>
              <w:top w:val="single" w:sz="4" w:space="0" w:color="6F6F74"/>
            </w:tcBorders>
            <w:shd w:fill="auto" w:val="clear"/>
            <w:vAlign w:val="center"/>
          </w:tcPr>
          <w:sdt>
            <w:sdtPr>
              <w:text/>
              <w:id w:val="1575957864"/>
              <w:dataBinding w:prefixMappings="xmlns:ns0='http://schemas.openxmlformats.org/package/2006/metadata/core-properties' xmlns:ns1='http://purl.org/dc/elements/1.1/'" w:xpath="/ns0:coreProperties[1]/ns1:subject[1]" w:storeItemID="{6C3C8BC8-F283-45AE-878A-BAB7291924A1}"/>
              <w:alias w:val="Подзаголовок"/>
            </w:sdtPr>
            <w:sdtContent>
              <w:p>
                <w:pPr>
                  <w:pStyle w:val="NoSpacing"/>
                  <w:jc w:val="center"/>
                  <w:rPr>
                    <w:rFonts w:ascii="Times New Roman" w:hAnsi="Times New Roman" w:eastAsia="" w:eastAsiaTheme="majorEastAsia"/>
                    <w:sz w:val="44"/>
                    <w:szCs w:val="44"/>
                  </w:rPr>
                </w:pPr>
                <w:r>
                  <w:rPr>
                    <w:rFonts w:eastAsia="" w:ascii="Times New Roman" w:hAnsi="Times New Roman" w:eastAsiaTheme="majorEastAsia"/>
                    <w:sz w:val="44"/>
                    <w:szCs w:val="44"/>
                  </w:rPr>
                  <w:t>«Внесение изменений (корректировка)                    в Стратегию социально-экономического развития муниципального образования «Тереньгульский район» Ульяновской области до 2030 года»</w:t>
                </w:r>
              </w:p>
            </w:sdtContent>
          </w:sdt>
        </w:tc>
      </w:tr>
      <w:tr>
        <w:trPr>
          <w:trHeight w:val="360" w:hRule="atLeast"/>
        </w:trPr>
        <w:tc>
          <w:tcPr>
            <w:tcW w:w="9638" w:type="dxa"/>
            <w:tcBorders/>
            <w:shd w:fill="auto" w:val="clear"/>
            <w:vAlign w:val="center"/>
          </w:tcPr>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r>
          </w:p>
        </w:tc>
      </w:tr>
      <w:tr>
        <w:trPr>
          <w:trHeight w:val="360" w:hRule="atLeast"/>
        </w:trPr>
        <w:tc>
          <w:tcPr>
            <w:tcW w:w="9638" w:type="dxa"/>
            <w:tcBorders/>
            <w:shd w:fill="auto" w:val="clear"/>
            <w:vAlign w:val="center"/>
          </w:tcPr>
          <w:p>
            <w:pPr>
              <w:pStyle w:val="NoSpacing"/>
              <w:jc w:val="center"/>
              <w:rPr>
                <w:rFonts w:ascii="Times New Roman" w:hAnsi="Times New Roman"/>
                <w:b/>
                <w:b/>
                <w:bCs/>
              </w:rPr>
            </w:pPr>
            <w:r>
              <w:rPr>
                <w:rFonts w:ascii="Times New Roman" w:hAnsi="Times New Roman"/>
                <w:b/>
                <w:bCs/>
              </w:rPr>
            </w:r>
          </w:p>
        </w:tc>
      </w:tr>
      <w:tr>
        <w:trPr>
          <w:trHeight w:val="360" w:hRule="atLeast"/>
        </w:trPr>
        <w:tc>
          <w:tcPr>
            <w:tcW w:w="9638" w:type="dxa"/>
            <w:tcBorders/>
            <w:shd w:fill="auto" w:val="clear"/>
            <w:vAlign w:val="center"/>
          </w:tcPr>
          <w:p>
            <w:pPr>
              <w:pStyle w:val="NoSpacing"/>
              <w:jc w:val="right"/>
              <w:rPr>
                <w:rFonts w:ascii="Times New Roman" w:hAnsi="Times New Roman"/>
                <w:b/>
                <w:b/>
                <w:bCs/>
                <w:sz w:val="28"/>
              </w:rPr>
            </w:pPr>
            <w:r>
              <w:rPr>
                <w:b/>
                <w:bCs/>
                <w:sz w:val="28"/>
              </w:rPr>
              <w:t>«____» ___________20</w:t>
            </w:r>
            <w:r>
              <w:rPr>
                <w:rFonts w:ascii="Times New Roman" w:hAnsi="Times New Roman"/>
                <w:b/>
                <w:bCs/>
                <w:sz w:val="28"/>
              </w:rPr>
              <w:t>19 г.</w:t>
            </w:r>
          </w:p>
        </w:tc>
      </w:tr>
    </w:tbl>
    <w:p>
      <w:pPr>
        <w:pStyle w:val="Normal"/>
        <w:rPr>
          <w:rFonts w:cs="Times New Roman"/>
        </w:rPr>
      </w:pPr>
      <w:r>
        <w:rPr>
          <w:rFonts w:cs="Times New Roman"/>
        </w:rPr>
      </w:r>
    </w:p>
    <w:tbl>
      <w:tblPr>
        <w:tblpPr w:bottomFromText="0" w:horzAnchor="margin" w:leftFromText="187" w:rightFromText="187" w:tblpX="0" w:tblpXSpec="center" w:tblpY="0" w:tblpYSpec="bottom" w:topFromText="0" w:vertAnchor="margin"/>
        <w:tblW w:w="5000" w:type="pct"/>
        <w:jc w:val="center"/>
        <w:tblInd w:w="0" w:type="dxa"/>
        <w:tblCellMar>
          <w:top w:w="0" w:type="dxa"/>
          <w:left w:w="108" w:type="dxa"/>
          <w:bottom w:w="0" w:type="dxa"/>
          <w:right w:w="108" w:type="dxa"/>
        </w:tblCellMar>
        <w:tblLook w:noVBand="1" w:val="04a0" w:noHBand="0" w:lastColumn="0" w:firstColumn="1" w:lastRow="0" w:firstRow="1"/>
      </w:tblPr>
      <w:tblGrid>
        <w:gridCol w:w="9638"/>
      </w:tblGrid>
      <w:tr>
        <w:trPr/>
        <w:tc>
          <w:tcPr>
            <w:tcW w:w="9638" w:type="dxa"/>
            <w:tcBorders/>
            <w:shd w:fill="auto" w:val="clear"/>
          </w:tcPr>
          <w:p>
            <w:pPr>
              <w:pStyle w:val="NoSpacing"/>
              <w:rPr>
                <w:rFonts w:ascii="Times New Roman" w:hAnsi="Times New Roman"/>
              </w:rPr>
            </w:pPr>
            <w:r>
              <w:rPr>
                <w:rFonts w:ascii="Times New Roman" w:hAnsi="Times New Roman"/>
              </w:rPr>
            </w:r>
          </w:p>
        </w:tc>
      </w:tr>
    </w:tbl>
    <w:p>
      <w:pPr>
        <w:sectPr>
          <w:type w:val="nextPage"/>
          <w:pgSz w:w="11906" w:h="16838"/>
          <w:pgMar w:left="1701" w:right="567" w:header="0" w:top="1134" w:footer="0" w:bottom="1134" w:gutter="0"/>
          <w:pgNumType w:start="0" w:fmt="decimal"/>
          <w:formProt w:val="false"/>
          <w:textDirection w:val="lrTb"/>
          <w:docGrid w:type="default" w:linePitch="360" w:charSpace="0"/>
        </w:sectPr>
        <w:pStyle w:val="Normal"/>
        <w:suppressAutoHyphens w:val="false"/>
        <w:rPr>
          <w:rFonts w:cs="Times New Roman"/>
          <w:b/>
          <w:b/>
          <w:bCs/>
        </w:rPr>
      </w:pPr>
      <w:r>
        <w:rPr>
          <w:rFonts w:cs="Times New Roman"/>
          <w:b/>
          <w:bCs/>
        </w:rPr>
      </w:r>
    </w:p>
    <w:p>
      <w:pPr>
        <w:pStyle w:val="Normal"/>
        <w:suppressAutoHyphens w:val="false"/>
        <w:rPr>
          <w:rFonts w:cs="Times New Roman"/>
        </w:rPr>
      </w:pPr>
      <w:r>
        <w:rPr>
          <w:rFonts w:cs="Times New Roman"/>
        </w:rPr>
      </w:r>
    </w:p>
    <w:sdt>
      <w:sdtPr>
        <w:docPartObj>
          <w:docPartGallery w:val="Table of Contents"/>
          <w:docPartUnique w:val="true"/>
        </w:docPartObj>
        <w:id w:val="1087097920"/>
        <w:alias w:val="Дата"/>
      </w:sdtPr>
      <w:sdtContent>
        <w:p>
          <w:pPr>
            <w:pStyle w:val="TOCHeading"/>
            <w:spacing w:lineRule="auto" w:line="240" w:before="0" w:after="0"/>
            <w:ind w:right="-1" w:hanging="0"/>
            <w:jc w:val="center"/>
            <w:rPr>
              <w:rFonts w:ascii="Times New Roman" w:hAnsi="Times New Roman" w:cs="Times New Roman"/>
              <w:color w:val="auto"/>
            </w:rPr>
          </w:pPr>
          <w:r>
            <w:rPr>
              <w:rFonts w:cs="Times New Roman" w:ascii="Times New Roman" w:hAnsi="Times New Roman"/>
              <w:color w:val="auto"/>
            </w:rPr>
            <w:t>ОГЛАВЛЕНИЕ</w:t>
          </w:r>
        </w:p>
        <w:p>
          <w:pPr>
            <w:pStyle w:val="Normal"/>
            <w:rPr/>
          </w:pPr>
          <w:r>
            <w:rPr/>
          </w:r>
        </w:p>
        <w:p>
          <w:pPr>
            <w:pStyle w:val="14"/>
            <w:rPr>
              <w:rFonts w:ascii="Calibri" w:hAnsi="Calibri" w:cs="" w:asciiTheme="minorHAnsi" w:cstheme="minorBidi" w:hAnsiTheme="minorHAnsi"/>
              <w:sz w:val="22"/>
              <w:szCs w:val="22"/>
            </w:rPr>
          </w:pPr>
          <w:r>
            <w:fldChar w:fldCharType="begin"/>
          </w:r>
          <w:r>
            <w:rPr>
              <w:webHidden/>
              <w:rStyle w:val="Style20"/>
              <w:vanish w:val="false"/>
            </w:rPr>
            <w:instrText> TOC \z \o "1-3" \u \h</w:instrText>
          </w:r>
          <w:r>
            <w:rPr>
              <w:webHidden/>
              <w:rStyle w:val="Style20"/>
              <w:vanish w:val="false"/>
            </w:rPr>
            <w:fldChar w:fldCharType="separate"/>
          </w:r>
          <w:hyperlink w:anchor="_Toc4404984">
            <w:r>
              <w:rPr>
                <w:webHidden/>
              </w:rPr>
              <w:fldChar w:fldCharType="begin"/>
            </w:r>
            <w:r>
              <w:rPr>
                <w:webHidden/>
              </w:rPr>
              <w:instrText>PAGEREF _Toc4404984 \h</w:instrText>
            </w:r>
            <w:r>
              <w:rPr>
                <w:webHidden/>
              </w:rPr>
              <w:fldChar w:fldCharType="separate"/>
            </w:r>
            <w:r>
              <w:rPr>
                <w:webHidden/>
                <w:rStyle w:val="Style20"/>
                <w:vanish w:val="false"/>
              </w:rPr>
              <w:t>ОБЩАЯ СПРАВКА ПО ТЕРЕНЬГУЛЬСКОМУ РАЙОНУ</w:t>
              <w:tab/>
              <w:t>3</w:t>
            </w:r>
            <w:r>
              <w:rPr>
                <w:webHidden/>
              </w:rPr>
              <w:fldChar w:fldCharType="end"/>
            </w:r>
          </w:hyperlink>
        </w:p>
        <w:p>
          <w:pPr>
            <w:pStyle w:val="14"/>
            <w:rPr>
              <w:rFonts w:ascii="Calibri" w:hAnsi="Calibri" w:cs="" w:asciiTheme="minorHAnsi" w:cstheme="minorBidi" w:hAnsiTheme="minorHAnsi"/>
              <w:sz w:val="22"/>
              <w:szCs w:val="22"/>
            </w:rPr>
          </w:pPr>
          <w:hyperlink w:anchor="_Toc4404985">
            <w:r>
              <w:rPr>
                <w:webHidden/>
              </w:rPr>
              <w:fldChar w:fldCharType="begin"/>
            </w:r>
            <w:r>
              <w:rPr>
                <w:webHidden/>
              </w:rPr>
              <w:instrText>PAGEREF _Toc4404985 \h</w:instrText>
            </w:r>
            <w:r>
              <w:rPr>
                <w:webHidden/>
              </w:rPr>
              <w:fldChar w:fldCharType="separate"/>
            </w:r>
            <w:r>
              <w:rPr>
                <w:webHidden/>
                <w:rStyle w:val="Style20"/>
                <w:vanish w:val="false"/>
              </w:rPr>
              <w:t>1. ОЦЕНКА ИСХОДНОЙ СОЦИАЛЬНО-ЭКОНОМИЧЕСКОЙ СИТУАЦИИ МУНИЦИПАЛЬНОГО ОБРАЗОВАНИЯ</w:t>
              <w:tab/>
              <w:t>5</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86">
            <w:r>
              <w:rPr>
                <w:webHidden/>
              </w:rPr>
              <w:fldChar w:fldCharType="begin"/>
            </w:r>
            <w:r>
              <w:rPr>
                <w:webHidden/>
              </w:rPr>
              <w:instrText>PAGEREF _Toc4404986 \h</w:instrText>
            </w:r>
            <w:r>
              <w:rPr>
                <w:webHidden/>
              </w:rPr>
              <w:fldChar w:fldCharType="separate"/>
            </w:r>
            <w:r>
              <w:rPr>
                <w:webHidden/>
                <w:rStyle w:val="Style20"/>
                <w:vanish w:val="false"/>
              </w:rPr>
              <w:t>1.1. Промышленность</w:t>
              <w:tab/>
              <w:t>5</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87">
            <w:r>
              <w:rPr>
                <w:webHidden/>
              </w:rPr>
              <w:fldChar w:fldCharType="begin"/>
            </w:r>
            <w:r>
              <w:rPr>
                <w:webHidden/>
              </w:rPr>
              <w:instrText>PAGEREF _Toc4404987 \h</w:instrText>
            </w:r>
            <w:r>
              <w:rPr>
                <w:webHidden/>
              </w:rPr>
              <w:fldChar w:fldCharType="separate"/>
            </w:r>
            <w:r>
              <w:rPr>
                <w:webHidden/>
                <w:rStyle w:val="Style20"/>
                <w:vanish w:val="false"/>
              </w:rPr>
              <w:t>1.2. Сельское хозяйство</w:t>
              <w:tab/>
              <w:t>9</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88">
            <w:r>
              <w:rPr>
                <w:webHidden/>
              </w:rPr>
              <w:fldChar w:fldCharType="begin"/>
            </w:r>
            <w:r>
              <w:rPr>
                <w:webHidden/>
              </w:rPr>
              <w:instrText>PAGEREF _Toc4404988 \h</w:instrText>
            </w:r>
            <w:r>
              <w:rPr>
                <w:webHidden/>
              </w:rPr>
              <w:fldChar w:fldCharType="separate"/>
            </w:r>
            <w:r>
              <w:rPr>
                <w:webHidden/>
                <w:rStyle w:val="Style20"/>
                <w:vanish w:val="false"/>
              </w:rPr>
              <w:t>1.3. Инвестиции и институты развития</w:t>
              <w:tab/>
              <w:t>13</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89">
            <w:r>
              <w:rPr>
                <w:webHidden/>
              </w:rPr>
              <w:fldChar w:fldCharType="begin"/>
            </w:r>
            <w:r>
              <w:rPr>
                <w:webHidden/>
              </w:rPr>
              <w:instrText>PAGEREF _Toc4404989 \h</w:instrText>
            </w:r>
            <w:r>
              <w:rPr>
                <w:webHidden/>
              </w:rPr>
              <w:fldChar w:fldCharType="separate"/>
            </w:r>
            <w:r>
              <w:rPr>
                <w:webHidden/>
                <w:rStyle w:val="Style20"/>
                <w:vanish w:val="false"/>
              </w:rPr>
              <w:t>1.4. Малое и среднее предпринимательство</w:t>
              <w:tab/>
              <w:t>16</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90">
            <w:r>
              <w:rPr>
                <w:webHidden/>
                <w:rStyle w:val="Style20"/>
                <w:rFonts w:eastAsia="Calibri" w:eastAsiaTheme="minorHAnsi"/>
                <w:vanish w:val="false"/>
                <w:lang w:eastAsia="en-US"/>
              </w:rPr>
              <w:t>1.5. Социальная сфера</w:t>
            </w:r>
            <w:r>
              <w:rPr>
                <w:webHidden/>
              </w:rPr>
              <w:fldChar w:fldCharType="begin"/>
            </w:r>
            <w:r>
              <w:rPr>
                <w:webHidden/>
              </w:rPr>
              <w:instrText>PAGEREF _Toc4404990 \h</w:instrText>
            </w:r>
            <w:r>
              <w:rPr>
                <w:webHidden/>
              </w:rPr>
              <w:fldChar w:fldCharType="separate"/>
            </w:r>
            <w:r>
              <w:rPr>
                <w:rStyle w:val="Style20"/>
                <w:vanish w:val="false"/>
              </w:rPr>
              <w:tab/>
              <w:t>18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1">
            <w:r>
              <w:rPr>
                <w:webHidden/>
              </w:rPr>
              <w:fldChar w:fldCharType="begin"/>
            </w:r>
            <w:r>
              <w:rPr>
                <w:webHidden/>
              </w:rPr>
              <w:instrText>PAGEREF _Toc4404991 \h</w:instrText>
            </w:r>
            <w:r>
              <w:rPr>
                <w:webHidden/>
              </w:rPr>
              <w:fldChar w:fldCharType="separate"/>
            </w:r>
            <w:r>
              <w:rPr>
                <w:webHidden/>
                <w:rStyle w:val="Style20"/>
                <w:vanish w:val="false"/>
              </w:rPr>
              <w:t>1.5.1. Демография</w:t>
              <w:tab/>
              <w:t>18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2">
            <w:r>
              <w:rPr>
                <w:webHidden/>
              </w:rPr>
              <w:fldChar w:fldCharType="begin"/>
            </w:r>
            <w:r>
              <w:rPr>
                <w:webHidden/>
              </w:rPr>
              <w:instrText>PAGEREF _Toc4404992 \h</w:instrText>
            </w:r>
            <w:r>
              <w:rPr>
                <w:webHidden/>
              </w:rPr>
              <w:fldChar w:fldCharType="separate"/>
            </w:r>
            <w:r>
              <w:rPr>
                <w:webHidden/>
                <w:rStyle w:val="Style20"/>
                <w:vanish w:val="false"/>
              </w:rPr>
              <w:t>1.5.2. Рынок труда и уровень жизни населения</w:t>
              <w:tab/>
              <w:t>23</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3">
            <w:r>
              <w:rPr>
                <w:webHidden/>
              </w:rPr>
              <w:fldChar w:fldCharType="begin"/>
            </w:r>
            <w:r>
              <w:rPr>
                <w:webHidden/>
              </w:rPr>
              <w:instrText>PAGEREF _Toc4404993 \h</w:instrText>
            </w:r>
            <w:r>
              <w:rPr>
                <w:webHidden/>
              </w:rPr>
              <w:fldChar w:fldCharType="separate"/>
            </w:r>
            <w:r>
              <w:rPr>
                <w:webHidden/>
                <w:rStyle w:val="Style20"/>
                <w:vanish w:val="false"/>
              </w:rPr>
              <w:t>1.5.3. Здравоохранение</w:t>
              <w:tab/>
              <w:t>26</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4">
            <w:r>
              <w:rPr>
                <w:webHidden/>
              </w:rPr>
              <w:fldChar w:fldCharType="begin"/>
            </w:r>
            <w:r>
              <w:rPr>
                <w:webHidden/>
              </w:rPr>
              <w:instrText>PAGEREF _Toc4404994 \h</w:instrText>
            </w:r>
            <w:r>
              <w:rPr>
                <w:webHidden/>
              </w:rPr>
              <w:fldChar w:fldCharType="separate"/>
            </w:r>
            <w:r>
              <w:rPr>
                <w:webHidden/>
                <w:rStyle w:val="Style20"/>
                <w:vanish w:val="false"/>
              </w:rPr>
              <w:t>1.5.4. Образование</w:t>
              <w:tab/>
              <w:t>29</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5">
            <w:r>
              <w:rPr>
                <w:webHidden/>
              </w:rPr>
              <w:fldChar w:fldCharType="begin"/>
            </w:r>
            <w:r>
              <w:rPr>
                <w:webHidden/>
              </w:rPr>
              <w:instrText>PAGEREF _Toc4404995 \h</w:instrText>
            </w:r>
            <w:r>
              <w:rPr>
                <w:webHidden/>
              </w:rPr>
              <w:fldChar w:fldCharType="separate"/>
            </w:r>
            <w:r>
              <w:rPr>
                <w:webHidden/>
                <w:rStyle w:val="Style20"/>
                <w:vanish w:val="false"/>
              </w:rPr>
              <w:t>1.5.5. Культура</w:t>
              <w:tab/>
              <w:t>35</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6">
            <w:r>
              <w:rPr>
                <w:webHidden/>
              </w:rPr>
              <w:fldChar w:fldCharType="begin"/>
            </w:r>
            <w:r>
              <w:rPr>
                <w:webHidden/>
              </w:rPr>
              <w:instrText>PAGEREF _Toc4404996 \h</w:instrText>
            </w:r>
            <w:r>
              <w:rPr>
                <w:webHidden/>
              </w:rPr>
              <w:fldChar w:fldCharType="separate"/>
            </w:r>
            <w:r>
              <w:rPr>
                <w:webHidden/>
                <w:rStyle w:val="Style20"/>
                <w:vanish w:val="false"/>
              </w:rPr>
              <w:t>1.5.6. Физическая культура и спорт</w:t>
              <w:tab/>
              <w:t>38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7">
            <w:r>
              <w:rPr>
                <w:webHidden/>
              </w:rPr>
              <w:fldChar w:fldCharType="begin"/>
            </w:r>
            <w:r>
              <w:rPr>
                <w:webHidden/>
              </w:rPr>
              <w:instrText>PAGEREF _Toc4404997 \h</w:instrText>
            </w:r>
            <w:r>
              <w:rPr>
                <w:webHidden/>
              </w:rPr>
              <w:fldChar w:fldCharType="separate"/>
            </w:r>
            <w:r>
              <w:rPr>
                <w:webHidden/>
                <w:rStyle w:val="Style20"/>
                <w:vanish w:val="false"/>
              </w:rPr>
              <w:t>1.5.7. Молодёжная политика</w:t>
              <w:tab/>
              <w:t>40</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8">
            <w:r>
              <w:rPr>
                <w:webHidden/>
              </w:rPr>
              <w:fldChar w:fldCharType="begin"/>
            </w:r>
            <w:r>
              <w:rPr>
                <w:webHidden/>
              </w:rPr>
              <w:instrText>PAGEREF _Toc4404998 \h</w:instrText>
            </w:r>
            <w:r>
              <w:rPr>
                <w:webHidden/>
              </w:rPr>
              <w:fldChar w:fldCharType="separate"/>
            </w:r>
            <w:r>
              <w:rPr>
                <w:webHidden/>
                <w:rStyle w:val="Style20"/>
                <w:vanish w:val="false"/>
              </w:rPr>
              <w:t>1.5.8. Туризм</w:t>
              <w:tab/>
              <w:t>41</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9">
            <w:r>
              <w:rPr>
                <w:webHidden/>
              </w:rPr>
              <w:fldChar w:fldCharType="begin"/>
            </w:r>
            <w:r>
              <w:rPr>
                <w:webHidden/>
              </w:rPr>
              <w:instrText>PAGEREF _Toc4404999 \h</w:instrText>
            </w:r>
            <w:r>
              <w:rPr>
                <w:webHidden/>
              </w:rPr>
              <w:fldChar w:fldCharType="separate"/>
            </w:r>
            <w:r>
              <w:rPr>
                <w:webHidden/>
                <w:rStyle w:val="Style20"/>
                <w:vanish w:val="false"/>
              </w:rPr>
              <w:t>1.5.9. Жилищный фонд</w:t>
              <w:tab/>
              <w:t>44</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00">
            <w:r>
              <w:rPr>
                <w:webHidden/>
              </w:rPr>
              <w:fldChar w:fldCharType="begin"/>
            </w:r>
            <w:r>
              <w:rPr>
                <w:webHidden/>
              </w:rPr>
              <w:instrText>PAGEREF _Toc4405000 \h</w:instrText>
            </w:r>
            <w:r>
              <w:rPr>
                <w:webHidden/>
              </w:rPr>
              <w:fldChar w:fldCharType="separate"/>
            </w:r>
            <w:r>
              <w:rPr>
                <w:webHidden/>
                <w:rStyle w:val="Style20"/>
                <w:vanish w:val="false"/>
              </w:rPr>
              <w:t>1.5.10. Жилищно-коммунальная сфера и благоустройство</w:t>
              <w:tab/>
              <w:t>47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01">
            <w:r>
              <w:rPr>
                <w:webHidden/>
              </w:rPr>
              <w:fldChar w:fldCharType="begin"/>
            </w:r>
            <w:r>
              <w:rPr>
                <w:webHidden/>
              </w:rPr>
              <w:instrText>PAGEREF _Toc4405001 \h</w:instrText>
            </w:r>
            <w:r>
              <w:rPr>
                <w:webHidden/>
              </w:rPr>
              <w:fldChar w:fldCharType="separate"/>
            </w:r>
            <w:r>
              <w:rPr>
                <w:webHidden/>
                <w:rStyle w:val="Style20"/>
                <w:vanish w:val="false"/>
              </w:rPr>
              <w:t>1.5.11. Связь</w:t>
              <w:tab/>
              <w:t>53</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02">
            <w:r>
              <w:rPr>
                <w:webHidden/>
              </w:rPr>
              <w:fldChar w:fldCharType="begin"/>
            </w:r>
            <w:r>
              <w:rPr>
                <w:webHidden/>
              </w:rPr>
              <w:instrText>PAGEREF _Toc4405002 \h</w:instrText>
            </w:r>
            <w:r>
              <w:rPr>
                <w:webHidden/>
              </w:rPr>
              <w:fldChar w:fldCharType="separate"/>
            </w:r>
            <w:r>
              <w:rPr>
                <w:webHidden/>
                <w:rStyle w:val="Style20"/>
                <w:vanish w:val="false"/>
              </w:rPr>
              <w:t>1.6. Бюджетная сфера</w:t>
              <w:tab/>
              <w:t>55</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03">
            <w:r>
              <w:rPr>
                <w:webHidden/>
                <w:rStyle w:val="Style20"/>
                <w:vanish w:val="false"/>
                <w:shd w:fill="FFFFFF" w:val="clear"/>
              </w:rPr>
              <w:t>1.7. Состояние безопасности жизни и имущества граждан</w:t>
            </w:r>
            <w:r>
              <w:rPr>
                <w:webHidden/>
              </w:rPr>
              <w:fldChar w:fldCharType="begin"/>
            </w:r>
            <w:r>
              <w:rPr>
                <w:webHidden/>
              </w:rPr>
              <w:instrText>PAGEREF _Toc4405003 \h</w:instrText>
            </w:r>
            <w:r>
              <w:rPr>
                <w:webHidden/>
              </w:rPr>
              <w:fldChar w:fldCharType="separate"/>
            </w:r>
            <w:r>
              <w:rPr>
                <w:rStyle w:val="Style20"/>
                <w:vanish w:val="false"/>
              </w:rPr>
              <w:tab/>
              <w:t>58</w:t>
            </w:r>
            <w:r>
              <w:rPr>
                <w:webHidden/>
              </w:rPr>
              <w:fldChar w:fldCharType="end"/>
            </w:r>
          </w:hyperlink>
        </w:p>
        <w:p>
          <w:pPr>
            <w:pStyle w:val="14"/>
            <w:rPr>
              <w:rFonts w:ascii="Calibri" w:hAnsi="Calibri" w:cs="" w:asciiTheme="minorHAnsi" w:cstheme="minorBidi" w:hAnsiTheme="minorHAnsi"/>
              <w:sz w:val="22"/>
              <w:szCs w:val="22"/>
            </w:rPr>
          </w:pPr>
          <w:hyperlink w:anchor="_Toc4405004">
            <w:r>
              <w:rPr>
                <w:webHidden/>
                <w:rStyle w:val="Style20"/>
                <w:vanish w:val="false"/>
              </w:rPr>
              <w:t>2.</w:t>
            </w:r>
            <w:r>
              <w:rPr>
                <w:rStyle w:val="Style20"/>
                <w:rFonts w:cs="" w:ascii="Calibri" w:hAnsi="Calibri" w:asciiTheme="minorHAnsi" w:cstheme="minorBidi" w:hAnsiTheme="minorHAnsi"/>
                <w:sz w:val="22"/>
                <w:szCs w:val="22"/>
              </w:rPr>
              <w:t xml:space="preserve"> </w:t>
            </w:r>
            <w:r>
              <w:rPr>
                <w:rStyle w:val="Style20"/>
              </w:rPr>
              <w:t xml:space="preserve">СТРАТЕГИЧЕСКИЕ ЦЕЛИ И ЗАДАЧИ РАЗВИТИЯ РАЙОНА </w:t>
              <w:br/>
              <w:t>В ДОЛГОСРОЧНОЙ ПЕРСПЕКТИВЕ</w:t>
            </w:r>
            <w:r>
              <w:rPr>
                <w:webHidden/>
              </w:rPr>
              <w:fldChar w:fldCharType="begin"/>
            </w:r>
            <w:r>
              <w:rPr>
                <w:webHidden/>
              </w:rPr>
              <w:instrText>PAGEREF _Toc4405004 \h</w:instrText>
            </w:r>
            <w:r>
              <w:rPr>
                <w:webHidden/>
              </w:rPr>
              <w:fldChar w:fldCharType="separate"/>
            </w:r>
            <w:r>
              <w:rPr>
                <w:rStyle w:val="Style20"/>
                <w:vanish w:val="false"/>
              </w:rPr>
              <w:tab/>
              <w:t>61</w:t>
            </w:r>
            <w:r>
              <w:rPr>
                <w:webHidden/>
              </w:rPr>
              <w:fldChar w:fldCharType="end"/>
            </w:r>
          </w:hyperlink>
        </w:p>
        <w:p>
          <w:pPr>
            <w:pStyle w:val="14"/>
            <w:rPr>
              <w:rFonts w:ascii="Calibri" w:hAnsi="Calibri" w:cs="" w:asciiTheme="minorHAnsi" w:cstheme="minorBidi" w:hAnsiTheme="minorHAnsi"/>
              <w:sz w:val="22"/>
              <w:szCs w:val="22"/>
            </w:rPr>
          </w:pPr>
          <w:hyperlink w:anchor="_Toc4405005">
            <w:r>
              <w:rPr>
                <w:webHidden/>
                <w:rStyle w:val="Style20"/>
                <w:vanish w:val="false"/>
              </w:rPr>
              <w:t>2.1.</w:t>
            </w:r>
            <w:r>
              <w:rPr>
                <w:rStyle w:val="Style20"/>
                <w:rFonts w:cs="" w:ascii="Calibri" w:hAnsi="Calibri" w:asciiTheme="minorHAnsi" w:cstheme="minorBidi" w:hAnsiTheme="minorHAnsi"/>
                <w:sz w:val="22"/>
                <w:szCs w:val="22"/>
              </w:rPr>
              <w:t> </w:t>
            </w:r>
            <w:r>
              <w:rPr>
                <w:rStyle w:val="Style20"/>
              </w:rPr>
              <w:t xml:space="preserve">РАЗВИТИЕ ЧЕЛОВЕЧЕСКОГО КАПИТАЛА И СОЦИАЛЬНОЙ </w:t>
              <w:br/>
              <w:t>СФЕРЫ</w:t>
            </w:r>
            <w:r>
              <w:rPr>
                <w:webHidden/>
              </w:rPr>
              <w:fldChar w:fldCharType="begin"/>
            </w:r>
            <w:r>
              <w:rPr>
                <w:webHidden/>
              </w:rPr>
              <w:instrText>PAGEREF _Toc4405005 \h</w:instrText>
            </w:r>
            <w:r>
              <w:rPr>
                <w:webHidden/>
              </w:rPr>
              <w:fldChar w:fldCharType="separate"/>
            </w:r>
            <w:r>
              <w:rPr>
                <w:rStyle w:val="Style20"/>
                <w:vanish w:val="false"/>
              </w:rPr>
              <w:tab/>
              <w:t>62</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06">
            <w:r>
              <w:rPr>
                <w:webHidden/>
              </w:rPr>
              <w:fldChar w:fldCharType="begin"/>
            </w:r>
            <w:r>
              <w:rPr>
                <w:webHidden/>
              </w:rPr>
              <w:instrText>PAGEREF _Toc4405006 \h</w:instrText>
            </w:r>
            <w:r>
              <w:rPr>
                <w:webHidden/>
              </w:rPr>
              <w:fldChar w:fldCharType="separate"/>
            </w:r>
            <w:r>
              <w:rPr>
                <w:webHidden/>
                <w:rStyle w:val="Style20"/>
                <w:vanish w:val="false"/>
              </w:rPr>
              <w:t>2.1.1. Улучшение демографической ситуации</w:t>
              <w:tab/>
              <w:t>66</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07">
            <w:r>
              <w:rPr>
                <w:webHidden/>
              </w:rPr>
              <w:fldChar w:fldCharType="begin"/>
            </w:r>
            <w:r>
              <w:rPr>
                <w:webHidden/>
              </w:rPr>
              <w:instrText>PAGEREF _Toc4405007 \h</w:instrText>
            </w:r>
            <w:r>
              <w:rPr>
                <w:webHidden/>
              </w:rPr>
              <w:fldChar w:fldCharType="separate"/>
            </w:r>
            <w:r>
              <w:rPr>
                <w:webHidden/>
                <w:rStyle w:val="Style20"/>
                <w:vanish w:val="false"/>
              </w:rPr>
              <w:t>2.1.2. Качественные преобразования, повышение качества и доступности услуг в системе образования, культуры, туризма, здравоохранения, физической культуры и спорта</w:t>
              <w:tab/>
              <w:t>67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08">
            <w:r>
              <w:rPr>
                <w:webHidden/>
              </w:rPr>
              <w:fldChar w:fldCharType="begin"/>
            </w:r>
            <w:r>
              <w:rPr>
                <w:webHidden/>
              </w:rPr>
              <w:instrText>PAGEREF _Toc4405008 \h</w:instrText>
            </w:r>
            <w:r>
              <w:rPr>
                <w:webHidden/>
              </w:rPr>
              <w:fldChar w:fldCharType="separate"/>
            </w:r>
            <w:r>
              <w:rPr>
                <w:webHidden/>
                <w:rStyle w:val="Style20"/>
                <w:vanish w:val="false"/>
              </w:rPr>
              <w:t>2.1.2.1. Образование</w:t>
              <w:tab/>
              <w:t>67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09">
            <w:r>
              <w:rPr>
                <w:webHidden/>
              </w:rPr>
              <w:fldChar w:fldCharType="begin"/>
            </w:r>
            <w:r>
              <w:rPr>
                <w:webHidden/>
              </w:rPr>
              <w:instrText>PAGEREF _Toc4405009 \h</w:instrText>
            </w:r>
            <w:r>
              <w:rPr>
                <w:webHidden/>
              </w:rPr>
              <w:fldChar w:fldCharType="separate"/>
            </w:r>
            <w:r>
              <w:rPr>
                <w:webHidden/>
                <w:rStyle w:val="Style20"/>
                <w:vanish w:val="false"/>
              </w:rPr>
              <w:t>2.1.2.2. Культура</w:t>
              <w:tab/>
              <w:t>69</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10">
            <w:r>
              <w:rPr>
                <w:webHidden/>
                <w:rStyle w:val="Style20"/>
                <w:rFonts w:eastAsia="Calibri"/>
                <w:vanish w:val="false"/>
              </w:rPr>
              <w:t>2.1.2.3. Туризм</w:t>
            </w:r>
            <w:r>
              <w:rPr>
                <w:webHidden/>
              </w:rPr>
              <w:fldChar w:fldCharType="begin"/>
            </w:r>
            <w:r>
              <w:rPr>
                <w:webHidden/>
              </w:rPr>
              <w:instrText>PAGEREF _Toc4405010 \h</w:instrText>
            </w:r>
            <w:r>
              <w:rPr>
                <w:webHidden/>
              </w:rPr>
              <w:fldChar w:fldCharType="separate"/>
            </w:r>
            <w:r>
              <w:rPr>
                <w:rStyle w:val="Style20"/>
                <w:vanish w:val="false"/>
              </w:rPr>
              <w:tab/>
              <w:t>72</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11">
            <w:r>
              <w:rPr>
                <w:webHidden/>
                <w:rStyle w:val="Style20"/>
                <w:rFonts w:eastAsia="Calibri"/>
                <w:vanish w:val="false"/>
              </w:rPr>
              <w:t>2.1.2.4. Здравоохранение</w:t>
            </w:r>
            <w:r>
              <w:rPr>
                <w:webHidden/>
              </w:rPr>
              <w:fldChar w:fldCharType="begin"/>
            </w:r>
            <w:r>
              <w:rPr>
                <w:webHidden/>
              </w:rPr>
              <w:instrText>PAGEREF _Toc4405011 \h</w:instrText>
            </w:r>
            <w:r>
              <w:rPr>
                <w:webHidden/>
              </w:rPr>
              <w:fldChar w:fldCharType="separate"/>
            </w:r>
            <w:r>
              <w:rPr>
                <w:rStyle w:val="Style20"/>
                <w:vanish w:val="false"/>
              </w:rPr>
              <w:tab/>
              <w:t>74</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12">
            <w:r>
              <w:rPr>
                <w:webHidden/>
                <w:rStyle w:val="Style20"/>
                <w:rFonts w:eastAsia="Calibri"/>
                <w:vanish w:val="false"/>
              </w:rPr>
              <w:t>2.1.2.5. Физическая культура и спорт</w:t>
            </w:r>
            <w:r>
              <w:rPr>
                <w:webHidden/>
              </w:rPr>
              <w:fldChar w:fldCharType="begin"/>
            </w:r>
            <w:r>
              <w:rPr>
                <w:webHidden/>
              </w:rPr>
              <w:instrText>PAGEREF _Toc4405012 \h</w:instrText>
            </w:r>
            <w:r>
              <w:rPr>
                <w:webHidden/>
              </w:rPr>
              <w:fldChar w:fldCharType="separate"/>
            </w:r>
            <w:r>
              <w:rPr>
                <w:rStyle w:val="Style20"/>
                <w:vanish w:val="false"/>
              </w:rPr>
              <w:tab/>
              <w:t>76</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13">
            <w:r>
              <w:rPr>
                <w:webHidden/>
              </w:rPr>
              <w:fldChar w:fldCharType="begin"/>
            </w:r>
            <w:r>
              <w:rPr>
                <w:webHidden/>
              </w:rPr>
              <w:instrText>PAGEREF _Toc4405013 \h</w:instrText>
            </w:r>
            <w:r>
              <w:rPr>
                <w:webHidden/>
              </w:rPr>
              <w:fldChar w:fldCharType="separate"/>
            </w:r>
            <w:r>
              <w:rPr>
                <w:webHidden/>
                <w:rStyle w:val="Style20"/>
                <w:vanish w:val="false"/>
              </w:rPr>
              <w:t>2.1.3. Создание условий для успешной социализации, самореализации молодёжи, вовлечения в общественно полезную деятельность</w:t>
              <w:tab/>
              <w:t>77</w:t>
            </w:r>
            <w:r>
              <w:rPr>
                <w:webHidden/>
              </w:rPr>
              <w:fldChar w:fldCharType="end"/>
            </w:r>
          </w:hyperlink>
        </w:p>
        <w:p>
          <w:pPr>
            <w:pStyle w:val="14"/>
            <w:rPr>
              <w:rFonts w:ascii="Calibri" w:hAnsi="Calibri" w:cs="" w:asciiTheme="minorHAnsi" w:cstheme="minorBidi" w:hAnsiTheme="minorHAnsi"/>
              <w:sz w:val="22"/>
              <w:szCs w:val="22"/>
            </w:rPr>
          </w:pPr>
          <w:hyperlink w:anchor="_Toc4405014">
            <w:r>
              <w:rPr>
                <w:webHidden/>
              </w:rPr>
              <w:fldChar w:fldCharType="begin"/>
            </w:r>
            <w:r>
              <w:rPr>
                <w:webHidden/>
              </w:rPr>
              <w:instrText>PAGEREF _Toc4405014 \h</w:instrText>
            </w:r>
            <w:r>
              <w:rPr>
                <w:webHidden/>
              </w:rPr>
              <w:fldChar w:fldCharType="separate"/>
            </w:r>
            <w:r>
              <w:rPr>
                <w:webHidden/>
                <w:rStyle w:val="Style20"/>
                <w:vanish w:val="false"/>
              </w:rPr>
              <w:t>2.2. РАЗВИТИЕ ЭКОНОМИКИ, СОЗДАНИЕ БЛАГОПРИЯТНОГО ИНВЕСТИЦИОННОГО И ПРЕДПРИНИМАТЕЛЬСКОГО КЛИМАТА</w:t>
              <w:tab/>
              <w:t>79</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15">
            <w:r>
              <w:rPr>
                <w:webHidden/>
              </w:rPr>
              <w:fldChar w:fldCharType="begin"/>
            </w:r>
            <w:r>
              <w:rPr>
                <w:webHidden/>
              </w:rPr>
              <w:instrText>PAGEREF _Toc4405015 \h</w:instrText>
            </w:r>
            <w:r>
              <w:rPr>
                <w:webHidden/>
              </w:rPr>
              <w:fldChar w:fldCharType="separate"/>
            </w:r>
            <w:r>
              <w:rPr>
                <w:webHidden/>
                <w:rStyle w:val="Style20"/>
                <w:vanish w:val="false"/>
              </w:rPr>
              <w:t>2.2.1. Развитие промышленности</w:t>
              <w:tab/>
              <w:t>82</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16">
            <w:r>
              <w:rPr>
                <w:webHidden/>
              </w:rPr>
              <w:fldChar w:fldCharType="begin"/>
            </w:r>
            <w:r>
              <w:rPr>
                <w:webHidden/>
              </w:rPr>
              <w:instrText>PAGEREF _Toc4405016 \h</w:instrText>
            </w:r>
            <w:r>
              <w:rPr>
                <w:webHidden/>
              </w:rPr>
              <w:fldChar w:fldCharType="separate"/>
            </w:r>
            <w:r>
              <w:rPr>
                <w:webHidden/>
                <w:rStyle w:val="Style20"/>
                <w:vanish w:val="false"/>
              </w:rPr>
              <w:t>2.2.2. Развитие жилищного строительства</w:t>
              <w:tab/>
              <w:t>84</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17">
            <w:r>
              <w:rPr>
                <w:webHidden/>
              </w:rPr>
              <w:fldChar w:fldCharType="begin"/>
            </w:r>
            <w:r>
              <w:rPr>
                <w:webHidden/>
              </w:rPr>
              <w:instrText>PAGEREF _Toc4405017 \h</w:instrText>
            </w:r>
            <w:r>
              <w:rPr>
                <w:webHidden/>
              </w:rPr>
              <w:fldChar w:fldCharType="separate"/>
            </w:r>
            <w:r>
              <w:rPr>
                <w:webHidden/>
                <w:rStyle w:val="Style20"/>
                <w:vanish w:val="false"/>
              </w:rPr>
              <w:t>2.2.3. Развитие сельского хозяйства</w:t>
              <w:tab/>
              <w:t>86</w:t>
            </w:r>
            <w:r>
              <w:rPr>
                <w:webHidden/>
              </w:rPr>
              <w:fldChar w:fldCharType="end"/>
            </w:r>
          </w:hyperlink>
        </w:p>
        <w:p>
          <w:pPr>
            <w:sectPr>
              <w:headerReference w:type="default" r:id="rId2"/>
              <w:type w:val="nextPage"/>
              <w:pgSz w:w="11906" w:h="16838"/>
              <w:pgMar w:left="1701" w:right="567" w:header="709" w:top="1134" w:footer="0" w:bottom="1134" w:gutter="0"/>
              <w:pgNumType w:start="1" w:fmt="decimal"/>
              <w:formProt w:val="false"/>
              <w:titlePg/>
              <w:textDirection w:val="lrTb"/>
              <w:docGrid w:type="default" w:linePitch="360" w:charSpace="0"/>
            </w:sectPr>
            <w:pStyle w:val="23"/>
            <w:ind w:left="1134" w:hanging="0"/>
            <w:jc w:val="both"/>
            <w:rPr>
              <w:rFonts w:ascii="Calibri" w:hAnsi="Calibri" w:cs="" w:asciiTheme="minorHAnsi" w:cstheme="minorBidi" w:hAnsiTheme="minorHAnsi"/>
              <w:spacing w:val="0"/>
              <w:sz w:val="22"/>
              <w:szCs w:val="22"/>
            </w:rPr>
          </w:pPr>
          <w:hyperlink w:anchor="_Toc4405018">
            <w:r>
              <w:rPr>
                <w:webHidden/>
                <w:rStyle w:val="Style20"/>
                <w:rFonts w:eastAsia="Calibri"/>
                <w:vanish w:val="false"/>
              </w:rPr>
              <w:t>2.2.3.1. Продовольственная безопасность и экспортный потенциал</w:t>
            </w:r>
            <w:r>
              <w:rPr>
                <w:webHidden/>
              </w:rPr>
              <w:fldChar w:fldCharType="begin"/>
            </w:r>
            <w:r>
              <w:rPr>
                <w:webHidden/>
              </w:rPr>
              <w:instrText>PAGEREF _Toc4405018 \h</w:instrText>
            </w:r>
            <w:r>
              <w:rPr>
                <w:webHidden/>
              </w:rPr>
              <w:fldChar w:fldCharType="separate"/>
            </w:r>
            <w:r>
              <w:rPr>
                <w:rStyle w:val="Style20"/>
                <w:vanish w:val="false"/>
              </w:rPr>
              <w:tab/>
              <w:t>86</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19">
            <w:r>
              <w:rPr>
                <w:webHidden/>
                <w:rStyle w:val="Style20"/>
                <w:rFonts w:eastAsia="Calibri"/>
                <w:vanish w:val="false"/>
              </w:rPr>
              <w:t>2.2.3.2. Малые формы хозяйствования и кооперация</w:t>
            </w:r>
            <w:r>
              <w:rPr>
                <w:webHidden/>
              </w:rPr>
              <w:fldChar w:fldCharType="begin"/>
            </w:r>
            <w:r>
              <w:rPr>
                <w:webHidden/>
              </w:rPr>
              <w:instrText>PAGEREF _Toc4405019 \h</w:instrText>
            </w:r>
            <w:r>
              <w:rPr>
                <w:webHidden/>
              </w:rPr>
              <w:fldChar w:fldCharType="separate"/>
            </w:r>
            <w:r>
              <w:rPr>
                <w:rStyle w:val="Style20"/>
                <w:vanish w:val="false"/>
              </w:rPr>
              <w:tab/>
              <w:t>87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20">
            <w:r>
              <w:rPr>
                <w:webHidden/>
                <w:rStyle w:val="Style20"/>
                <w:rFonts w:eastAsia="Calibri"/>
                <w:vanish w:val="false"/>
                <w:shd w:fill="FFFFFF" w:val="clear"/>
              </w:rPr>
              <w:t>2.2.3.3. Сельскохозяйственные угодья</w:t>
            </w:r>
            <w:r>
              <w:rPr>
                <w:webHidden/>
              </w:rPr>
              <w:fldChar w:fldCharType="begin"/>
            </w:r>
            <w:r>
              <w:rPr>
                <w:webHidden/>
              </w:rPr>
              <w:instrText>PAGEREF _Toc4405020 \h</w:instrText>
            </w:r>
            <w:r>
              <w:rPr>
                <w:webHidden/>
              </w:rPr>
              <w:fldChar w:fldCharType="separate"/>
            </w:r>
            <w:r>
              <w:rPr>
                <w:rStyle w:val="Style20"/>
                <w:vanish w:val="false"/>
              </w:rPr>
              <w:tab/>
              <w:t>88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21">
            <w:r>
              <w:rPr>
                <w:webHidden/>
                <w:rStyle w:val="Style20"/>
                <w:rFonts w:eastAsia="Calibri"/>
                <w:vanish w:val="false"/>
                <w:shd w:fill="FFFFFF" w:val="clear"/>
              </w:rPr>
              <w:t>2.2.3.4. Кадровый потенциал отрасли</w:t>
            </w:r>
            <w:r>
              <w:rPr>
                <w:webHidden/>
              </w:rPr>
              <w:fldChar w:fldCharType="begin"/>
            </w:r>
            <w:r>
              <w:rPr>
                <w:webHidden/>
              </w:rPr>
              <w:instrText>PAGEREF _Toc4405021 \h</w:instrText>
            </w:r>
            <w:r>
              <w:rPr>
                <w:webHidden/>
              </w:rPr>
              <w:fldChar w:fldCharType="separate"/>
            </w:r>
            <w:r>
              <w:rPr>
                <w:rStyle w:val="Style20"/>
                <w:vanish w:val="false"/>
              </w:rPr>
              <w:tab/>
              <w:t>89</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2">
            <w:r>
              <w:rPr>
                <w:webHidden/>
              </w:rPr>
              <w:fldChar w:fldCharType="begin"/>
            </w:r>
            <w:r>
              <w:rPr>
                <w:webHidden/>
              </w:rPr>
              <w:instrText>PAGEREF _Toc4405022 \h</w:instrText>
            </w:r>
            <w:r>
              <w:rPr>
                <w:webHidden/>
              </w:rPr>
              <w:fldChar w:fldCharType="separate"/>
            </w:r>
            <w:r>
              <w:rPr>
                <w:webHidden/>
                <w:rStyle w:val="Style20"/>
                <w:vanish w:val="false"/>
              </w:rPr>
              <w:t>2.2.4. Повышение инвестиционной привлекательности</w:t>
              <w:tab/>
              <w:t>89</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3">
            <w:r>
              <w:rPr>
                <w:webHidden/>
              </w:rPr>
              <w:fldChar w:fldCharType="begin"/>
            </w:r>
            <w:r>
              <w:rPr>
                <w:webHidden/>
              </w:rPr>
              <w:instrText>PAGEREF _Toc4405023 \h</w:instrText>
            </w:r>
            <w:r>
              <w:rPr>
                <w:webHidden/>
              </w:rPr>
              <w:fldChar w:fldCharType="separate"/>
            </w:r>
            <w:r>
              <w:rPr>
                <w:webHidden/>
                <w:rStyle w:val="Style20"/>
                <w:vanish w:val="false"/>
              </w:rPr>
              <w:t>2.2.5. Улучшение предпринимательской среды</w:t>
              <w:tab/>
              <w:t>90</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4">
            <w:r>
              <w:rPr>
                <w:webHidden/>
                <w:rStyle w:val="Style20"/>
                <w:rFonts w:eastAsia="Calibri"/>
                <w:vanish w:val="false"/>
              </w:rPr>
              <w:t>2.2.6. Повышение доходов населения</w:t>
            </w:r>
            <w:r>
              <w:rPr>
                <w:webHidden/>
              </w:rPr>
              <w:fldChar w:fldCharType="begin"/>
            </w:r>
            <w:r>
              <w:rPr>
                <w:webHidden/>
              </w:rPr>
              <w:instrText>PAGEREF _Toc4405024 \h</w:instrText>
            </w:r>
            <w:r>
              <w:rPr>
                <w:webHidden/>
              </w:rPr>
              <w:fldChar w:fldCharType="separate"/>
            </w:r>
            <w:r>
              <w:rPr>
                <w:rStyle w:val="Style20"/>
                <w:vanish w:val="false"/>
              </w:rPr>
              <w:tab/>
              <w:t>91</w:t>
            </w:r>
            <w:r>
              <w:rPr>
                <w:webHidden/>
              </w:rPr>
              <w:fldChar w:fldCharType="end"/>
            </w:r>
          </w:hyperlink>
        </w:p>
        <w:p>
          <w:pPr>
            <w:pStyle w:val="14"/>
            <w:rPr>
              <w:rFonts w:ascii="Calibri" w:hAnsi="Calibri" w:cs="" w:asciiTheme="minorHAnsi" w:cstheme="minorBidi" w:hAnsiTheme="minorHAnsi"/>
              <w:sz w:val="22"/>
              <w:szCs w:val="22"/>
            </w:rPr>
          </w:pPr>
          <w:hyperlink w:anchor="_Toc4405025">
            <w:r>
              <w:rPr>
                <w:webHidden/>
              </w:rPr>
              <w:fldChar w:fldCharType="begin"/>
            </w:r>
            <w:r>
              <w:rPr>
                <w:webHidden/>
              </w:rPr>
              <w:instrText>PAGEREF _Toc4405025 \h</w:instrText>
            </w:r>
            <w:r>
              <w:rPr>
                <w:webHidden/>
              </w:rPr>
              <w:fldChar w:fldCharType="separate"/>
            </w:r>
            <w:r>
              <w:rPr>
                <w:webHidden/>
                <w:rStyle w:val="Style20"/>
                <w:vanish w:val="false"/>
              </w:rPr>
              <w:t>2.3. РАЗВИТИЕ ИНФРАСТРУКТУРЫ ЖИЗНЕОБЕСПЕЧЕНИЯ И СБАЛАНСИРОВАННОГО ПРОСТРАНСТВЕННОГО РАЗВИТИЯ</w:t>
              <w:tab/>
              <w:t>93</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6">
            <w:r>
              <w:rPr>
                <w:webHidden/>
              </w:rPr>
              <w:fldChar w:fldCharType="begin"/>
            </w:r>
            <w:r>
              <w:rPr>
                <w:webHidden/>
              </w:rPr>
              <w:instrText>PAGEREF _Toc4405026 \h</w:instrText>
            </w:r>
            <w:r>
              <w:rPr>
                <w:webHidden/>
              </w:rPr>
              <w:fldChar w:fldCharType="separate"/>
            </w:r>
            <w:r>
              <w:rPr>
                <w:webHidden/>
                <w:rStyle w:val="Style20"/>
                <w:vanish w:val="false"/>
              </w:rPr>
              <w:t>2.3.1. Развитие инфраструктуры транспорта</w:t>
              <w:tab/>
              <w:t>95</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7">
            <w:r>
              <w:rPr>
                <w:webHidden/>
              </w:rPr>
              <w:fldChar w:fldCharType="begin"/>
            </w:r>
            <w:r>
              <w:rPr>
                <w:webHidden/>
              </w:rPr>
              <w:instrText>PAGEREF _Toc4405027 \h</w:instrText>
            </w:r>
            <w:r>
              <w:rPr>
                <w:webHidden/>
              </w:rPr>
              <w:fldChar w:fldCharType="separate"/>
            </w:r>
            <w:r>
              <w:rPr>
                <w:webHidden/>
                <w:rStyle w:val="Style20"/>
                <w:vanish w:val="false"/>
              </w:rPr>
              <w:t>2.3.2. Повышение качества и доступности услуг связи</w:t>
              <w:tab/>
              <w:t>96</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8">
            <w:r>
              <w:rPr>
                <w:webHidden/>
              </w:rPr>
              <w:fldChar w:fldCharType="begin"/>
            </w:r>
            <w:r>
              <w:rPr>
                <w:webHidden/>
              </w:rPr>
              <w:instrText>PAGEREF _Toc4405028 \h</w:instrText>
            </w:r>
            <w:r>
              <w:rPr>
                <w:webHidden/>
              </w:rPr>
              <w:fldChar w:fldCharType="separate"/>
            </w:r>
            <w:r>
              <w:rPr>
                <w:webHidden/>
                <w:rStyle w:val="Style20"/>
                <w:vanish w:val="false"/>
              </w:rPr>
              <w:t>2.3.3. Обеспечение бесперебойной работы  жилищно-коммунального комплекса</w:t>
              <w:tab/>
              <w:t>97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29">
            <w:r>
              <w:rPr>
                <w:webHidden/>
                <w:rStyle w:val="Style20"/>
                <w:rFonts w:eastAsia="Calibri"/>
                <w:vanish w:val="false"/>
                <w:shd w:fill="FFFFFF" w:val="clear"/>
              </w:rPr>
              <w:t>2.3.3.1. Тепло-, газоснабжение</w:t>
            </w:r>
            <w:r>
              <w:rPr>
                <w:webHidden/>
              </w:rPr>
              <w:fldChar w:fldCharType="begin"/>
            </w:r>
            <w:r>
              <w:rPr>
                <w:webHidden/>
              </w:rPr>
              <w:instrText>PAGEREF _Toc4405029 \h</w:instrText>
            </w:r>
            <w:r>
              <w:rPr>
                <w:webHidden/>
              </w:rPr>
              <w:fldChar w:fldCharType="separate"/>
            </w:r>
            <w:r>
              <w:rPr>
                <w:rStyle w:val="Style20"/>
                <w:vanish w:val="false"/>
              </w:rPr>
              <w:tab/>
              <w:t>98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30">
            <w:r>
              <w:rPr>
                <w:webHidden/>
                <w:rStyle w:val="Style20"/>
                <w:rFonts w:eastAsia="Calibri"/>
                <w:vanish w:val="false"/>
                <w:shd w:fill="FFFFFF" w:val="clear"/>
              </w:rPr>
              <w:t>2.3.3.2. Электроснабжение (энергосбережение)</w:t>
            </w:r>
            <w:r>
              <w:rPr>
                <w:webHidden/>
              </w:rPr>
              <w:fldChar w:fldCharType="begin"/>
            </w:r>
            <w:r>
              <w:rPr>
                <w:webHidden/>
              </w:rPr>
              <w:instrText>PAGEREF _Toc4405030 \h</w:instrText>
            </w:r>
            <w:r>
              <w:rPr>
                <w:webHidden/>
              </w:rPr>
              <w:fldChar w:fldCharType="separate"/>
            </w:r>
            <w:r>
              <w:rPr>
                <w:rStyle w:val="Style20"/>
                <w:vanish w:val="false"/>
              </w:rPr>
              <w:tab/>
              <w:t>100</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31">
            <w:r>
              <w:rPr>
                <w:webHidden/>
                <w:rStyle w:val="Style20"/>
                <w:rFonts w:eastAsia="Calibri"/>
                <w:vanish w:val="false"/>
                <w:shd w:fill="FFFFFF" w:val="clear"/>
              </w:rPr>
              <w:t>2.3.3.3. Водоснабжение</w:t>
            </w:r>
            <w:r>
              <w:rPr>
                <w:webHidden/>
              </w:rPr>
              <w:fldChar w:fldCharType="begin"/>
            </w:r>
            <w:r>
              <w:rPr>
                <w:webHidden/>
              </w:rPr>
              <w:instrText>PAGEREF _Toc4405031 \h</w:instrText>
            </w:r>
            <w:r>
              <w:rPr>
                <w:webHidden/>
              </w:rPr>
              <w:fldChar w:fldCharType="separate"/>
            </w:r>
            <w:r>
              <w:rPr>
                <w:rStyle w:val="Style20"/>
                <w:vanish w:val="false"/>
              </w:rPr>
              <w:tab/>
              <w:t>101</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32">
            <w:r>
              <w:rPr>
                <w:webHidden/>
                <w:rStyle w:val="Style20"/>
                <w:rFonts w:eastAsia="Calibri"/>
                <w:vanish w:val="false"/>
              </w:rPr>
              <w:t>2.3.4. Обеспечение безопасности жизнедеятельности, в том числе экологической безопасности</w:t>
            </w:r>
            <w:r>
              <w:rPr>
                <w:webHidden/>
              </w:rPr>
              <w:fldChar w:fldCharType="begin"/>
            </w:r>
            <w:r>
              <w:rPr>
                <w:webHidden/>
              </w:rPr>
              <w:instrText>PAGEREF _Toc4405032 \h</w:instrText>
            </w:r>
            <w:r>
              <w:rPr>
                <w:webHidden/>
              </w:rPr>
              <w:fldChar w:fldCharType="separate"/>
            </w:r>
            <w:r>
              <w:rPr>
                <w:rStyle w:val="Style20"/>
                <w:vanish w:val="false"/>
              </w:rPr>
              <w:tab/>
              <w:t>102</w:t>
            </w:r>
            <w:r>
              <w:rPr>
                <w:webHidden/>
              </w:rPr>
              <w:fldChar w:fldCharType="end"/>
            </w:r>
          </w:hyperlink>
        </w:p>
        <w:p>
          <w:pPr>
            <w:pStyle w:val="14"/>
            <w:rPr>
              <w:rFonts w:ascii="Calibri" w:hAnsi="Calibri" w:cs="" w:asciiTheme="minorHAnsi" w:cstheme="minorBidi" w:hAnsiTheme="minorHAnsi"/>
              <w:sz w:val="22"/>
              <w:szCs w:val="22"/>
            </w:rPr>
          </w:pPr>
          <w:hyperlink w:anchor="_Toc4405033">
            <w:r>
              <w:rPr>
                <w:webHidden/>
              </w:rPr>
              <w:fldChar w:fldCharType="begin"/>
            </w:r>
            <w:r>
              <w:rPr>
                <w:webHidden/>
              </w:rPr>
              <w:instrText>PAGEREF _Toc4405033 \h</w:instrText>
            </w:r>
            <w:r>
              <w:rPr>
                <w:webHidden/>
              </w:rPr>
              <w:fldChar w:fldCharType="separate"/>
            </w:r>
            <w:r>
              <w:rPr>
                <w:webHidden/>
                <w:rStyle w:val="Style20"/>
                <w:vanish w:val="false"/>
              </w:rPr>
              <w:t>3. СИСТЕМА УПРАВЛЕНИЯ И МОНИТОРИНГА РЕАЛИЗАЦИИ СТРАТЕГИИ</w:t>
              <w:tab/>
              <w:t>105</w:t>
            </w:r>
            <w:r>
              <w:rPr>
                <w:webHidden/>
              </w:rPr>
              <w:fldChar w:fldCharType="end"/>
            </w:r>
          </w:hyperlink>
        </w:p>
        <w:p>
          <w:pPr>
            <w:pStyle w:val="14"/>
            <w:rPr>
              <w:rFonts w:ascii="Calibri" w:hAnsi="Calibri" w:cs="" w:asciiTheme="minorHAnsi" w:cstheme="minorBidi" w:hAnsiTheme="minorHAnsi"/>
              <w:b w:val="false"/>
              <w:b w:val="false"/>
              <w:sz w:val="22"/>
              <w:szCs w:val="22"/>
            </w:rPr>
          </w:pPr>
          <w:r>
            <w:rPr>
              <w:b w:val="false"/>
              <w:color w:val="auto"/>
              <w:u w:val="none"/>
            </w:rPr>
            <w:t xml:space="preserve">Приложение 1. </w:t>
          </w:r>
          <w:hyperlink w:anchor="_Toc4405034">
            <w:r>
              <w:rPr>
                <w:webHidden/>
              </w:rPr>
              <w:fldChar w:fldCharType="begin"/>
            </w:r>
            <w:r>
              <w:rPr>
                <w:webHidden/>
              </w:rPr>
              <w:instrText>PAGEREF _Toc4405034 \h</w:instrText>
            </w:r>
            <w:r>
              <w:rPr>
                <w:webHidden/>
              </w:rPr>
              <w:fldChar w:fldCharType="separate"/>
            </w:r>
            <w:r>
              <w:rPr>
                <w:webHidden/>
                <w:rStyle w:val="Style20"/>
                <w:b w:val="false"/>
                <w:vanish w:val="false"/>
              </w:rPr>
              <w:t>Дерево стратегических целей социально-экономического развития Тереньгульского района до 2030 года</w:t>
              <w:tab/>
              <w:t>107</w:t>
            </w:r>
            <w:r>
              <w:rPr>
                <w:webHidden/>
              </w:rPr>
              <w:fldChar w:fldCharType="end"/>
            </w:r>
          </w:hyperlink>
        </w:p>
        <w:p>
          <w:pPr>
            <w:pStyle w:val="14"/>
            <w:rPr>
              <w:rFonts w:ascii="Calibri" w:hAnsi="Calibri" w:cs="" w:asciiTheme="minorHAnsi" w:cstheme="minorBidi" w:hAnsiTheme="minorHAnsi"/>
              <w:b w:val="false"/>
              <w:b w:val="false"/>
              <w:sz w:val="22"/>
              <w:szCs w:val="22"/>
            </w:rPr>
          </w:pPr>
          <w:hyperlink w:anchor="_Toc4405035">
            <w:r>
              <w:rPr>
                <w:webHidden/>
                <w:rStyle w:val="Style20"/>
                <w:b w:val="false"/>
                <w:vanish w:val="false"/>
              </w:rPr>
              <w:t>Приложение 2</w:t>
            </w:r>
          </w:hyperlink>
          <w:r>
            <w:rPr>
              <w:b w:val="false"/>
              <w:color w:val="auto"/>
              <w:u w:val="none"/>
            </w:rPr>
            <w:t xml:space="preserve">. </w:t>
          </w:r>
          <w:hyperlink w:anchor="_Toc4405036">
            <w:r>
              <w:rPr>
                <w:webHidden/>
              </w:rPr>
              <w:fldChar w:fldCharType="begin"/>
            </w:r>
            <w:r>
              <w:rPr>
                <w:webHidden/>
              </w:rPr>
              <w:instrText>PAGEREF _Toc4405036 \h</w:instrText>
            </w:r>
            <w:r>
              <w:rPr>
                <w:webHidden/>
              </w:rPr>
              <w:fldChar w:fldCharType="separate"/>
            </w:r>
            <w:r>
              <w:rPr>
                <w:webHidden/>
                <w:rStyle w:val="Style20"/>
                <w:b w:val="false"/>
                <w:vanish w:val="false"/>
              </w:rPr>
              <w:t>Информация о муниципальных программах Тереньгульского района, утверждаемых в целях реализации стратегии</w:t>
              <w:tab/>
              <w:t>128</w:t>
            </w:r>
            <w:r>
              <w:rPr>
                <w:webHidden/>
              </w:rPr>
              <w:fldChar w:fldCharType="end"/>
            </w:r>
          </w:hyperlink>
        </w:p>
        <w:p>
          <w:pPr>
            <w:pStyle w:val="14"/>
            <w:rPr>
              <w:rFonts w:ascii="Calibri" w:hAnsi="Calibri" w:cs="" w:asciiTheme="minorHAnsi" w:cstheme="minorBidi" w:hAnsiTheme="minorHAnsi"/>
              <w:b w:val="false"/>
              <w:b w:val="false"/>
              <w:sz w:val="22"/>
              <w:szCs w:val="22"/>
            </w:rPr>
          </w:pPr>
          <w:hyperlink w:anchor="_Toc4405037">
            <w:r>
              <w:rPr>
                <w:webHidden/>
                <w:rStyle w:val="Style20"/>
                <w:b w:val="false"/>
                <w:vanish w:val="false"/>
              </w:rPr>
              <w:t>Приложение 3</w:t>
            </w:r>
          </w:hyperlink>
          <w:r>
            <w:rPr>
              <w:b w:val="false"/>
              <w:color w:val="auto"/>
              <w:u w:val="none"/>
            </w:rPr>
            <w:t xml:space="preserve">. </w:t>
          </w:r>
          <w:hyperlink w:anchor="_Toc4405038">
            <w:r>
              <w:rPr>
                <w:webHidden/>
                <w:rStyle w:val="Style20"/>
                <w:b w:val="false"/>
                <w:vanish w:val="false"/>
              </w:rPr>
              <w:t xml:space="preserve">Целевые показатели </w:t>
            </w:r>
            <w:r>
              <w:rPr>
                <w:rStyle w:val="Style20"/>
                <w:b w:val="false"/>
                <w:lang w:val="en-US"/>
              </w:rPr>
              <w:t>C</w:t>
            </w:r>
            <w:r>
              <w:rPr>
                <w:rStyle w:val="Style20"/>
                <w:b w:val="false"/>
              </w:rPr>
              <w:t>тратегии социально-экономического развития Тереньгульского района до 2030 года</w:t>
            </w:r>
            <w:r>
              <w:rPr>
                <w:webHidden/>
              </w:rPr>
              <w:fldChar w:fldCharType="begin"/>
            </w:r>
            <w:r>
              <w:rPr>
                <w:webHidden/>
              </w:rPr>
              <w:instrText>PAGEREF _Toc4405038 \h</w:instrText>
            </w:r>
            <w:r>
              <w:rPr>
                <w:webHidden/>
              </w:rPr>
              <w:fldChar w:fldCharType="separate"/>
            </w:r>
            <w:r>
              <w:rPr>
                <w:rStyle w:val="Style20"/>
                <w:b w:val="false"/>
                <w:vanish w:val="false"/>
              </w:rPr>
              <w:tab/>
              <w:t>131</w:t>
            </w:r>
            <w:r>
              <w:rPr>
                <w:webHidden/>
              </w:rPr>
              <w:fldChar w:fldCharType="end"/>
            </w:r>
          </w:hyperlink>
        </w:p>
        <w:p>
          <w:pPr>
            <w:pStyle w:val="14"/>
            <w:rPr>
              <w:rFonts w:ascii="Calibri" w:hAnsi="Calibri" w:cs="" w:asciiTheme="minorHAnsi" w:cstheme="minorBidi" w:hAnsiTheme="minorHAnsi"/>
              <w:b w:val="false"/>
              <w:b w:val="false"/>
              <w:sz w:val="22"/>
              <w:szCs w:val="22"/>
            </w:rPr>
          </w:pPr>
          <w:r>
            <w:rPr>
              <w:b w:val="false"/>
              <w:color w:val="auto"/>
              <w:u w:val="none"/>
            </w:rPr>
            <w:t xml:space="preserve">Приложение 4. </w:t>
          </w:r>
          <w:hyperlink w:anchor="_Toc4405039">
            <w:r>
              <w:rPr>
                <w:webHidden/>
                <w:rStyle w:val="Style20"/>
                <w:b w:val="false"/>
                <w:vanish w:val="false"/>
                <w:color w:val="auto"/>
                <w:u w:val="none"/>
              </w:rPr>
              <w:t xml:space="preserve">Анализ отчётной информации о достижении целевых показателей эффективности реализации действующей стратегии района </w:t>
            </w:r>
            <w:r>
              <w:rPr>
                <w:rStyle w:val="Style20"/>
                <w:b w:val="false"/>
                <w:color w:val="auto"/>
                <w:u w:val="none"/>
                <w:lang w:val="en-US"/>
              </w:rPr>
              <w:br/>
            </w:r>
            <w:r>
              <w:rPr>
                <w:rStyle w:val="Style20"/>
                <w:b w:val="false"/>
                <w:color w:val="auto"/>
                <w:u w:val="none"/>
              </w:rPr>
              <w:t>за предыдущие периоды</w:t>
            </w:r>
            <w:r>
              <w:rPr>
                <w:webHidden/>
              </w:rPr>
              <w:fldChar w:fldCharType="begin"/>
            </w:r>
            <w:r>
              <w:rPr>
                <w:webHidden/>
              </w:rPr>
              <w:instrText>PAGEREF _Toc4405039 \h</w:instrText>
            </w:r>
            <w:r>
              <w:rPr>
                <w:webHidden/>
              </w:rPr>
              <w:fldChar w:fldCharType="separate"/>
            </w:r>
            <w:r>
              <w:rPr>
                <w:rStyle w:val="Style20"/>
                <w:b w:val="false"/>
                <w:vanish w:val="false"/>
              </w:rPr>
              <w:tab/>
              <w:t>135</w:t>
            </w:r>
            <w:r>
              <w:rPr>
                <w:webHidden/>
              </w:rPr>
              <w:fldChar w:fldCharType="end"/>
            </w:r>
          </w:hyperlink>
        </w:p>
        <w:p>
          <w:pPr>
            <w:pStyle w:val="14"/>
            <w:rPr/>
          </w:pPr>
          <w:r>
            <w:rPr/>
          </w:r>
          <w:r>
            <w:rPr/>
            <w:fldChar w:fldCharType="end"/>
          </w:r>
        </w:p>
      </w:sdtContent>
    </w:sdt>
    <w:p>
      <w:pPr>
        <w:sectPr>
          <w:headerReference w:type="default" r:id="rId3"/>
          <w:type w:val="nextPage"/>
          <w:pgSz w:w="11906" w:h="16838"/>
          <w:pgMar w:left="1701" w:right="567" w:header="709" w:top="1134" w:footer="0" w:bottom="1134" w:gutter="0"/>
          <w:pgNumType w:fmt="decimal"/>
          <w:formProt w:val="false"/>
          <w:textDirection w:val="lrTb"/>
          <w:docGrid w:type="default" w:linePitch="360" w:charSpace="0"/>
        </w:sectPr>
        <w:pStyle w:val="Normal"/>
        <w:jc w:val="center"/>
        <w:rPr/>
      </w:pPr>
      <w:r>
        <w:rPr/>
        <w:t>_____________</w:t>
      </w:r>
    </w:p>
    <w:p>
      <w:pPr>
        <w:pStyle w:val="01"/>
        <w:rPr/>
      </w:pPr>
      <w:bookmarkStart w:id="0" w:name="_Toc2237185"/>
      <w:bookmarkStart w:id="1" w:name="_Toc4404984"/>
      <w:r>
        <w:rPr/>
        <w:t>ОБЩАЯ СПРАВКА ПО ТЕРЕНЬГУЛЬСКОМУ РАЙОНУ</w:t>
      </w:r>
      <w:bookmarkEnd w:id="0"/>
      <w:bookmarkEnd w:id="1"/>
    </w:p>
    <w:p>
      <w:pPr>
        <w:pStyle w:val="Normal"/>
        <w:ind w:firstLine="709"/>
        <w:rPr>
          <w:rFonts w:cs="Times New Roman"/>
          <w:b/>
          <w:b/>
          <w:sz w:val="28"/>
          <w:szCs w:val="28"/>
        </w:rPr>
      </w:pPr>
      <w:r>
        <w:rPr>
          <w:rFonts w:cs="Times New Roman"/>
          <w:b/>
          <w:sz w:val="28"/>
          <w:szCs w:val="28"/>
        </w:rPr>
        <w:drawing>
          <wp:anchor behindDoc="0" distT="0" distB="9525" distL="114300" distR="114300" simplePos="0" locked="0" layoutInCell="1" allowOverlap="1" relativeHeight="2">
            <wp:simplePos x="0" y="0"/>
            <wp:positionH relativeFrom="margin">
              <wp:posOffset>38100</wp:posOffset>
            </wp:positionH>
            <wp:positionV relativeFrom="margin">
              <wp:posOffset>250190</wp:posOffset>
            </wp:positionV>
            <wp:extent cx="1715770" cy="1895475"/>
            <wp:effectExtent l="0" t="0" r="0" b="0"/>
            <wp:wrapSquare wrapText="bothSides"/>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4"/>
                    <a:stretch>
                      <a:fillRect/>
                    </a:stretch>
                  </pic:blipFill>
                  <pic:spPr bwMode="auto">
                    <a:xfrm>
                      <a:off x="0" y="0"/>
                      <a:ext cx="1715770" cy="1895475"/>
                    </a:xfrm>
                    <a:prstGeom prst="rect">
                      <a:avLst/>
                    </a:prstGeom>
                  </pic:spPr>
                </pic:pic>
              </a:graphicData>
            </a:graphic>
          </wp:anchor>
        </w:drawing>
      </w:r>
    </w:p>
    <w:p>
      <w:pPr>
        <w:pStyle w:val="Normal"/>
        <w:ind w:firstLine="709"/>
        <w:jc w:val="both"/>
        <w:rPr>
          <w:rFonts w:eastAsia="Calibri" w:cs="Times New Roman"/>
          <w:sz w:val="28"/>
          <w:szCs w:val="28"/>
        </w:rPr>
      </w:pPr>
      <w:r>
        <w:rPr>
          <w:rFonts w:eastAsia="Calibri" w:cs="Times New Roman"/>
          <w:sz w:val="28"/>
          <w:szCs w:val="28"/>
        </w:rPr>
        <w:t xml:space="preserve">Муниципальное образование «Тереньгульский район» Ульяновской области (далее – Тереньгульский район) расположен в юго-восточной части Ульяновской области. Граничит с Сенгилеевским, Ульяновским, Майнским, Кузоватовским районами Ульяновской области, с Сызранским и Шигонским районами Самарской области. </w:t>
      </w:r>
    </w:p>
    <w:p>
      <w:pPr>
        <w:pStyle w:val="Normal"/>
        <w:ind w:firstLine="709"/>
        <w:jc w:val="both"/>
        <w:rPr>
          <w:rFonts w:eastAsia="Calibri" w:cs="Times New Roman"/>
          <w:sz w:val="28"/>
          <w:szCs w:val="28"/>
        </w:rPr>
      </w:pPr>
      <w:r>
        <w:rPr>
          <w:rFonts w:eastAsia="Calibri" w:cs="Times New Roman"/>
          <w:sz w:val="28"/>
          <w:szCs w:val="28"/>
        </w:rPr>
        <w:t xml:space="preserve">Основные расстояния: до г. Ульяновска – 75 км, до г. Сызрани – 66 км. </w:t>
      </w:r>
    </w:p>
    <w:p>
      <w:pPr>
        <w:pStyle w:val="Normal"/>
        <w:ind w:firstLine="709"/>
        <w:jc w:val="both"/>
        <w:rPr>
          <w:rFonts w:cs="Times New Roman"/>
          <w:sz w:val="28"/>
          <w:szCs w:val="28"/>
        </w:rPr>
      </w:pPr>
      <w:r>
        <w:rPr>
          <w:rFonts w:eastAsia="Calibri" w:cs="Times New Roman"/>
          <w:sz w:val="28"/>
          <w:szCs w:val="28"/>
        </w:rPr>
        <w:t xml:space="preserve">В 90 километровой зоне от Тереньгульского района находится международный аэропорт Ульяновск им. Н.М. Карамзина, железнодорожный вокзал Ульяновск-Центральный, грузовой речной порт г. Ульяновска, в 110 км расположен международный аэропорт «Ульяновск-Восточный». По территории района проходит </w:t>
      </w:r>
      <w:r>
        <w:rPr>
          <w:rFonts w:cs="Times New Roman"/>
          <w:sz w:val="28"/>
          <w:szCs w:val="28"/>
        </w:rPr>
        <w:t>железнодорожная ветка Ульяновск – Сызрань, автомобильная трасса федерального значения Сызрань – Цивильск. Протяжённость автомобильных дорог с твёрдым покрытием 360,8 км.</w:t>
      </w:r>
    </w:p>
    <w:p>
      <w:pPr>
        <w:pStyle w:val="Normal"/>
        <w:ind w:firstLine="709"/>
        <w:jc w:val="both"/>
        <w:rPr>
          <w:rFonts w:eastAsia="Calibri" w:cs="Times New Roman"/>
          <w:sz w:val="28"/>
          <w:szCs w:val="28"/>
        </w:rPr>
      </w:pPr>
      <w:r>
        <w:rPr>
          <w:rFonts w:eastAsia="Calibri" w:cs="Times New Roman"/>
          <w:sz w:val="28"/>
          <w:szCs w:val="28"/>
        </w:rPr>
        <w:t xml:space="preserve">Тереньгульский район состоит из одного городского (Тереньгульского) и пяти сельских поселений (Михайловского, Белогорского, Красноборского, Ясашноташлинского, Подкуровского). </w:t>
      </w:r>
    </w:p>
    <w:p>
      <w:pPr>
        <w:pStyle w:val="Normal"/>
        <w:ind w:firstLine="709"/>
        <w:jc w:val="both"/>
        <w:rPr>
          <w:rFonts w:eastAsia="Calibri" w:cs="Times New Roman"/>
          <w:sz w:val="28"/>
          <w:szCs w:val="28"/>
        </w:rPr>
      </w:pPr>
      <w:r>
        <w:rPr>
          <w:rFonts w:eastAsia="Calibri" w:cs="Times New Roman"/>
          <w:sz w:val="28"/>
          <w:szCs w:val="28"/>
        </w:rPr>
        <w:t>В районе насчитывается 43 сельских населённых пункта. Районный центр – р.п. Тереньга.</w:t>
      </w:r>
    </w:p>
    <w:p>
      <w:pPr>
        <w:pStyle w:val="Normal"/>
        <w:ind w:firstLine="709"/>
        <w:jc w:val="both"/>
        <w:rPr>
          <w:rFonts w:eastAsia="Calibri" w:cs="Times New Roman"/>
          <w:sz w:val="28"/>
          <w:szCs w:val="28"/>
        </w:rPr>
      </w:pPr>
      <w:r>
        <w:rPr>
          <w:rFonts w:eastAsia="Calibri" w:cs="Times New Roman"/>
          <w:sz w:val="28"/>
          <w:szCs w:val="28"/>
        </w:rPr>
        <w:t xml:space="preserve">Площадь района составляет 1 756,3 кв. км (4,7 % территории Ульяновской области), в том числе: </w:t>
      </w:r>
    </w:p>
    <w:p>
      <w:pPr>
        <w:pStyle w:val="Normal"/>
        <w:ind w:firstLine="709"/>
        <w:jc w:val="both"/>
        <w:rPr>
          <w:rFonts w:eastAsia="Calibri" w:cs="Times New Roman"/>
          <w:sz w:val="28"/>
          <w:szCs w:val="28"/>
        </w:rPr>
      </w:pPr>
      <w:r>
        <w:rPr>
          <w:rFonts w:eastAsia="Calibri" w:cs="Times New Roman"/>
          <w:sz w:val="28"/>
          <w:szCs w:val="28"/>
        </w:rPr>
        <w:t>- земли лесного фонда – 495,52 кв. км (28% территории);</w:t>
      </w:r>
    </w:p>
    <w:p>
      <w:pPr>
        <w:pStyle w:val="Normal"/>
        <w:ind w:firstLine="709"/>
        <w:jc w:val="both"/>
        <w:rPr>
          <w:rFonts w:eastAsia="Calibri" w:cs="Times New Roman"/>
          <w:sz w:val="28"/>
          <w:szCs w:val="28"/>
        </w:rPr>
      </w:pPr>
      <w:r>
        <w:rPr>
          <w:rFonts w:eastAsia="Calibri" w:cs="Times New Roman"/>
          <w:sz w:val="28"/>
          <w:szCs w:val="28"/>
        </w:rPr>
        <w:t>- земли промышленного назначения – 42,89 кв. км (2%);</w:t>
      </w:r>
    </w:p>
    <w:p>
      <w:pPr>
        <w:pStyle w:val="Normal"/>
        <w:ind w:firstLine="709"/>
        <w:jc w:val="both"/>
        <w:rPr>
          <w:rFonts w:eastAsia="Calibri" w:cs="Times New Roman"/>
          <w:sz w:val="28"/>
          <w:szCs w:val="28"/>
        </w:rPr>
      </w:pPr>
      <w:r>
        <w:rPr>
          <w:rFonts w:eastAsia="Calibri" w:cs="Times New Roman"/>
          <w:sz w:val="28"/>
          <w:szCs w:val="28"/>
        </w:rPr>
        <w:t>- земли поселений – 52,96 кв. км. (3%);</w:t>
      </w:r>
    </w:p>
    <w:p>
      <w:pPr>
        <w:pStyle w:val="Normal"/>
        <w:ind w:firstLine="709"/>
        <w:jc w:val="both"/>
        <w:rPr>
          <w:rFonts w:eastAsia="Calibri" w:cs="Times New Roman"/>
          <w:sz w:val="28"/>
          <w:szCs w:val="28"/>
        </w:rPr>
      </w:pPr>
      <w:r>
        <w:rPr>
          <w:rFonts w:eastAsia="Calibri" w:cs="Times New Roman"/>
          <w:sz w:val="28"/>
          <w:szCs w:val="28"/>
        </w:rPr>
        <w:t>- земли сельскохозяйственного назначения – 1 164,9 кв. км (67%).</w:t>
      </w:r>
    </w:p>
    <w:p>
      <w:pPr>
        <w:pStyle w:val="Normal"/>
        <w:ind w:firstLine="709"/>
        <w:jc w:val="both"/>
        <w:rPr>
          <w:rFonts w:eastAsia="Calibri" w:cs="Times New Roman"/>
          <w:sz w:val="28"/>
          <w:szCs w:val="28"/>
        </w:rPr>
      </w:pPr>
      <w:r>
        <w:rPr>
          <w:rFonts w:eastAsia="Calibri" w:cs="Times New Roman"/>
          <w:sz w:val="28"/>
          <w:szCs w:val="28"/>
        </w:rPr>
        <w:t xml:space="preserve">В геоморфологическом отношении территория Тереньгульского района расположена в правобережной части области, которая занимает северные и северо-восточные склоны Приволжской возвышенности, являющейся водоразделом рек Волги и Суры. В целом, рельеф представляет собой возвышенную, местами волнисто-бугристую равнину, расчленённую мелкими речками, оврагами и балками на разные по величине водоразделы 2-го и 3-го порядка. Наиболее сложный рельеф южной и юго-восточной части района. На территории района выделено 142 разновидности почв, из них преобладающие чернозёмы – 56% от общей площади. </w:t>
      </w:r>
    </w:p>
    <w:p>
      <w:pPr>
        <w:pStyle w:val="Normal"/>
        <w:ind w:firstLine="709"/>
        <w:jc w:val="both"/>
        <w:rPr>
          <w:rFonts w:eastAsia="Calibri" w:cs="Times New Roman"/>
          <w:sz w:val="28"/>
          <w:szCs w:val="28"/>
        </w:rPr>
      </w:pPr>
      <w:r>
        <w:rPr>
          <w:rFonts w:eastAsia="Calibri" w:cs="Times New Roman"/>
          <w:sz w:val="28"/>
          <w:szCs w:val="28"/>
        </w:rPr>
        <w:t>Общая площадь земель лесного фонда – 495,52 кв. км, или 28% всей территории муниципального образования. На территории Тереньгульского лесхоза сосредоточено 8 434,9 тыс. куб. м стволовой древесины.</w:t>
      </w:r>
    </w:p>
    <w:p>
      <w:pPr>
        <w:pStyle w:val="Normal"/>
        <w:ind w:firstLine="709"/>
        <w:jc w:val="both"/>
        <w:rPr>
          <w:rFonts w:eastAsia="Calibri" w:cs="Times New Roman"/>
          <w:sz w:val="28"/>
          <w:szCs w:val="28"/>
        </w:rPr>
      </w:pPr>
      <w:r>
        <w:rPr>
          <w:rFonts w:eastAsia="Calibri" w:cs="Times New Roman"/>
          <w:sz w:val="28"/>
          <w:szCs w:val="28"/>
        </w:rPr>
        <w:t xml:space="preserve">Основные лесообразующие породы: </w:t>
      </w:r>
    </w:p>
    <w:p>
      <w:pPr>
        <w:pStyle w:val="Normal"/>
        <w:ind w:firstLine="709"/>
        <w:jc w:val="both"/>
        <w:rPr>
          <w:rFonts w:eastAsia="Calibri" w:cs="Times New Roman"/>
          <w:sz w:val="28"/>
          <w:szCs w:val="28"/>
        </w:rPr>
      </w:pPr>
      <w:r>
        <w:rPr>
          <w:rFonts w:eastAsia="Calibri" w:cs="Times New Roman"/>
          <w:sz w:val="28"/>
          <w:szCs w:val="28"/>
        </w:rPr>
        <w:t>- хвойные – 22,5 тыс. га (48,5%);</w:t>
      </w:r>
    </w:p>
    <w:p>
      <w:pPr>
        <w:pStyle w:val="Normal"/>
        <w:ind w:firstLine="709"/>
        <w:jc w:val="both"/>
        <w:rPr>
          <w:rFonts w:eastAsia="Calibri" w:cs="Times New Roman"/>
          <w:sz w:val="28"/>
          <w:szCs w:val="28"/>
        </w:rPr>
      </w:pPr>
      <w:r>
        <w:rPr>
          <w:rFonts w:eastAsia="Calibri" w:cs="Times New Roman"/>
          <w:sz w:val="28"/>
          <w:szCs w:val="28"/>
        </w:rPr>
        <w:t>- твердолиственные – 5,3 тыс. га (11,8%);</w:t>
      </w:r>
    </w:p>
    <w:p>
      <w:pPr>
        <w:pStyle w:val="Normal"/>
        <w:ind w:firstLine="709"/>
        <w:jc w:val="both"/>
        <w:rPr>
          <w:rFonts w:eastAsia="Calibri" w:cs="Times New Roman"/>
          <w:sz w:val="28"/>
          <w:szCs w:val="28"/>
        </w:rPr>
      </w:pPr>
      <w:r>
        <w:rPr>
          <w:rFonts w:eastAsia="Calibri" w:cs="Times New Roman"/>
          <w:sz w:val="28"/>
          <w:szCs w:val="28"/>
        </w:rPr>
        <w:t>- мягколиственные – 18,4 тыс. га (39,7%).</w:t>
      </w:r>
    </w:p>
    <w:p>
      <w:pPr>
        <w:pStyle w:val="Normal"/>
        <w:ind w:firstLine="709"/>
        <w:jc w:val="both"/>
        <w:rPr>
          <w:rFonts w:eastAsia="Calibri" w:cs="Times New Roman"/>
          <w:sz w:val="28"/>
          <w:szCs w:val="28"/>
        </w:rPr>
      </w:pPr>
      <w:r>
        <w:rPr>
          <w:rFonts w:eastAsia="Calibri" w:cs="Times New Roman"/>
          <w:sz w:val="28"/>
          <w:szCs w:val="28"/>
        </w:rPr>
        <w:t xml:space="preserve">Минерально-сырьевую базу Тереньгульского района составляют: песок кварцевый, глина для кирпичного производства, мел, лес, щебёнка, экологически чистая вода. Особую ценность для района представляют месторождения кварцевых песков. На территории района располагается одно из крупнейших в мире месторождений мела «Солдатская Ташла». Имеется 10 месторождений торфа общей площадью 138 га, запасы торфа 234,0 тыс. тонн. </w:t>
      </w:r>
    </w:p>
    <w:p>
      <w:pPr>
        <w:pStyle w:val="Normal"/>
        <w:ind w:firstLine="709"/>
        <w:jc w:val="both"/>
        <w:rPr>
          <w:rFonts w:eastAsia="Calibri" w:cs="Times New Roman"/>
          <w:sz w:val="28"/>
          <w:szCs w:val="28"/>
        </w:rPr>
      </w:pPr>
      <w:r>
        <w:rPr>
          <w:rFonts w:eastAsia="Calibri" w:cs="Times New Roman"/>
          <w:sz w:val="28"/>
          <w:szCs w:val="28"/>
        </w:rPr>
        <w:t>На территории района расположены природные и культурные объекты, имеющие потенциал для развития туризма: Скрипинские Кучуры, Бездонный Колодец и Усадьба Перси-Френч.</w:t>
      </w:r>
    </w:p>
    <w:p>
      <w:pPr>
        <w:pStyle w:val="Normal"/>
        <w:ind w:firstLine="709"/>
        <w:jc w:val="both"/>
        <w:rPr>
          <w:rFonts w:eastAsia="Calibri" w:cs="Times New Roman"/>
          <w:sz w:val="28"/>
          <w:szCs w:val="28"/>
        </w:rPr>
      </w:pPr>
      <w:r>
        <w:rPr>
          <w:rFonts w:eastAsia="Calibri" w:cs="Times New Roman"/>
          <w:sz w:val="28"/>
          <w:szCs w:val="28"/>
        </w:rPr>
        <w:t>На 01.01.2018 г. численность населения района составляет 17,4 тыс. человек, в том числе в р.п. Тереньга – 5,0 тыс. человек, в сельской местности проживает 12,4 тыс. человек.</w:t>
      </w:r>
    </w:p>
    <w:p>
      <w:pPr>
        <w:pStyle w:val="Normal"/>
        <w:ind w:firstLine="709"/>
        <w:jc w:val="both"/>
        <w:rPr>
          <w:rFonts w:eastAsia="Calibri" w:cs="Times New Roman"/>
          <w:sz w:val="28"/>
          <w:szCs w:val="28"/>
        </w:rPr>
      </w:pPr>
      <w:r>
        <w:rPr>
          <w:rFonts w:eastAsia="Calibri" w:cs="Times New Roman"/>
          <w:sz w:val="28"/>
          <w:szCs w:val="28"/>
        </w:rPr>
        <w:t>Национальный состав населения: русские – 70,9%, чуваши – 11,7%, мордва – 8,2%, татары – 4,3 %, прочие – 4,9%.</w:t>
      </w:r>
    </w:p>
    <w:p>
      <w:pPr>
        <w:pStyle w:val="Normal"/>
        <w:ind w:firstLine="709"/>
        <w:rPr>
          <w:rFonts w:eastAsia="Calibri" w:cs="Times New Roman"/>
          <w:sz w:val="28"/>
          <w:szCs w:val="28"/>
        </w:rPr>
      </w:pPr>
      <w:r>
        <w:rPr>
          <w:rFonts w:eastAsia="Calibri" w:cs="Times New Roman"/>
          <w:sz w:val="28"/>
          <w:szCs w:val="28"/>
        </w:rPr>
        <w:t xml:space="preserve">Половозрастной состав населения: </w:t>
      </w:r>
    </w:p>
    <w:p>
      <w:pPr>
        <w:pStyle w:val="Normal"/>
        <w:ind w:firstLine="709"/>
        <w:rPr>
          <w:rFonts w:eastAsia="Calibri" w:cs="Times New Roman"/>
          <w:sz w:val="28"/>
          <w:szCs w:val="28"/>
        </w:rPr>
      </w:pPr>
      <w:r>
        <w:rPr>
          <w:rFonts w:eastAsia="Calibri" w:cs="Times New Roman"/>
          <w:sz w:val="28"/>
          <w:szCs w:val="28"/>
        </w:rPr>
        <w:t>- мужчины – 47%, женщины – 53%;</w:t>
      </w:r>
    </w:p>
    <w:p>
      <w:pPr>
        <w:pStyle w:val="Normal"/>
        <w:ind w:firstLine="709"/>
        <w:rPr>
          <w:rFonts w:eastAsia="Calibri" w:cs="Times New Roman"/>
          <w:sz w:val="28"/>
          <w:szCs w:val="28"/>
        </w:rPr>
      </w:pPr>
      <w:r>
        <w:rPr>
          <w:rFonts w:eastAsia="Calibri" w:cs="Times New Roman"/>
          <w:sz w:val="28"/>
          <w:szCs w:val="28"/>
        </w:rPr>
        <w:t>- моложе трудоспособного возраста – 15,6%;</w:t>
      </w:r>
    </w:p>
    <w:p>
      <w:pPr>
        <w:pStyle w:val="Normal"/>
        <w:ind w:firstLine="709"/>
        <w:rPr>
          <w:rFonts w:eastAsia="Calibri" w:cs="Times New Roman"/>
          <w:sz w:val="28"/>
          <w:szCs w:val="28"/>
        </w:rPr>
      </w:pPr>
      <w:r>
        <w:rPr>
          <w:rFonts w:eastAsia="Calibri" w:cs="Times New Roman"/>
          <w:sz w:val="28"/>
          <w:szCs w:val="28"/>
        </w:rPr>
        <w:t>- трудоспособного возраста – 50,4%;</w:t>
      </w:r>
    </w:p>
    <w:p>
      <w:pPr>
        <w:pStyle w:val="Normal"/>
        <w:ind w:firstLine="709"/>
        <w:rPr>
          <w:rFonts w:eastAsia="Calibri" w:cs="Times New Roman"/>
          <w:sz w:val="28"/>
          <w:szCs w:val="28"/>
        </w:rPr>
      </w:pPr>
      <w:r>
        <w:rPr>
          <w:rFonts w:eastAsia="Calibri" w:cs="Times New Roman"/>
          <w:sz w:val="28"/>
          <w:szCs w:val="28"/>
        </w:rPr>
        <w:t>- старше трудоспособного возраста – 34,0%.</w:t>
      </w:r>
    </w:p>
    <w:p>
      <w:pPr>
        <w:pStyle w:val="Normal"/>
        <w:ind w:firstLine="709"/>
        <w:jc w:val="both"/>
        <w:rPr>
          <w:b/>
          <w:b/>
        </w:rPr>
      </w:pPr>
      <w:r>
        <w:rPr>
          <w:rFonts w:eastAsia="Calibri" w:cs="Times New Roman"/>
          <w:sz w:val="28"/>
          <w:szCs w:val="28"/>
        </w:rPr>
        <w:t>К конкурентным преимуществам Тереньгульского района можно отнести благоприятное географическое положение и минеральную ресурсную базу для производства строительных материалов и стеклокерамики. В качестве основной демографической проблемы можно выделить старение населения и миграционный отток.</w:t>
      </w:r>
    </w:p>
    <w:p>
      <w:pPr>
        <w:pStyle w:val="Normal"/>
        <w:suppressAutoHyphens w:val="false"/>
        <w:spacing w:lineRule="auto" w:line="276" w:before="0" w:after="200"/>
        <w:rPr>
          <w:rFonts w:eastAsia="" w:cs="Times New Roman" w:eastAsiaTheme="majorEastAsia"/>
          <w:b/>
          <w:b/>
          <w:bCs/>
          <w:sz w:val="28"/>
          <w:szCs w:val="28"/>
        </w:rPr>
      </w:pPr>
      <w:r>
        <w:rPr>
          <w:rFonts w:eastAsia="" w:cs="Times New Roman" w:eastAsiaTheme="majorEastAsia"/>
          <w:b/>
          <w:bCs/>
          <w:sz w:val="28"/>
          <w:szCs w:val="28"/>
        </w:rPr>
      </w:r>
      <w:r>
        <w:br w:type="page"/>
      </w:r>
    </w:p>
    <w:p>
      <w:pPr>
        <w:pStyle w:val="01"/>
        <w:rPr/>
      </w:pPr>
      <w:bookmarkStart w:id="2" w:name="_Toc2237186"/>
      <w:bookmarkStart w:id="3" w:name="_Toc4404985"/>
      <w:r>
        <w:rPr/>
        <w:t>1. ОЦЕНКА ИСХОДНОЙ СОЦИАЛЬНО-ЭКОНОМИЧЕСКОЙ СИТУАЦИИ МУНИЦИПАЛЬНОГО ОБРАЗОВАНИЯ</w:t>
      </w:r>
      <w:bookmarkEnd w:id="2"/>
      <w:bookmarkEnd w:id="3"/>
    </w:p>
    <w:p>
      <w:pPr>
        <w:pStyle w:val="15"/>
        <w:spacing w:before="0" w:after="0"/>
        <w:rPr/>
      </w:pPr>
      <w:r>
        <w:rPr/>
      </w:r>
    </w:p>
    <w:p>
      <w:pPr>
        <w:pStyle w:val="Normal"/>
        <w:rPr/>
      </w:pPr>
      <w:bookmarkStart w:id="4" w:name="_Toc2237187"/>
      <w:bookmarkStart w:id="5" w:name="_Toc4404986"/>
      <w:r>
        <w:rPr/>
        <w:t>1.1. Промышленность</w:t>
      </w:r>
      <w:bookmarkEnd w:id="4"/>
      <w:bookmarkEnd w:id="5"/>
    </w:p>
    <w:p>
      <w:pPr>
        <w:pStyle w:val="Normal"/>
        <w:ind w:firstLine="709"/>
        <w:jc w:val="both"/>
        <w:rPr>
          <w:sz w:val="28"/>
          <w:szCs w:val="28"/>
        </w:rPr>
      </w:pPr>
      <w:r>
        <w:rPr>
          <w:sz w:val="28"/>
          <w:szCs w:val="28"/>
        </w:rPr>
        <w:t>В соответствии с данными статистического регистра предприятий и организаций всех видов экономической деятельности на 01.01.2018 г. на территории Тереньгульского района зарегистрировано 447 хозяйствующих субъектов, из них 312 индивидуальных предпринимателей, 135 предприятий и организаций различных форм собственности.</w:t>
      </w:r>
    </w:p>
    <w:p>
      <w:pPr>
        <w:pStyle w:val="Normal"/>
        <w:keepNext w:val="true"/>
        <w:jc w:val="both"/>
        <w:rPr/>
      </w:pPr>
      <w:r>
        <w:rPr/>
        <w:drawing>
          <wp:inline distT="0" distB="0" distL="0" distR="0">
            <wp:extent cx="5943600" cy="381698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jc w:val="center"/>
        <w:rPr>
          <w:b/>
          <w:b/>
          <w:sz w:val="28"/>
          <w:szCs w:val="28"/>
        </w:rPr>
      </w:pPr>
      <w:r>
        <w:rPr>
          <w:b/>
          <w:sz w:val="28"/>
          <w:szCs w:val="28"/>
        </w:rPr>
        <w:t xml:space="preserve">Рисунок </w:t>
      </w:r>
      <w:r>
        <w:rPr>
          <w:b/>
          <w:sz w:val="28"/>
          <w:szCs w:val="28"/>
        </w:rPr>
        <w:fldChar w:fldCharType="begin"/>
      </w:r>
      <w:r>
        <w:rPr>
          <w:sz w:val="28"/>
          <w:b/>
          <w:szCs w:val="28"/>
        </w:rPr>
        <w:instrText> SEQ Рисунок \* ARABIC </w:instrText>
      </w:r>
      <w:r>
        <w:rPr>
          <w:sz w:val="28"/>
          <w:b/>
          <w:szCs w:val="28"/>
        </w:rPr>
        <w:fldChar w:fldCharType="separate"/>
      </w:r>
      <w:r>
        <w:rPr>
          <w:sz w:val="28"/>
          <w:b/>
          <w:szCs w:val="28"/>
        </w:rPr>
        <w:t>1</w:t>
      </w:r>
      <w:r>
        <w:rPr>
          <w:sz w:val="28"/>
          <w:b/>
          <w:szCs w:val="28"/>
        </w:rPr>
        <w:fldChar w:fldCharType="end"/>
      </w:r>
      <w:r>
        <w:rPr>
          <w:b/>
          <w:sz w:val="28"/>
          <w:szCs w:val="28"/>
        </w:rPr>
        <w:t xml:space="preserve"> - Распределение предприятий и организаций по видам экономической деятельности по состоянию на 01.01.2018 г.</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Ключевым показателем работы блока промышленности является объём отгруженных товаров, работ и услуг, выполненных собственными силами по предприятиям в промышленности и динамика работы промышленных предприятий.</w:t>
      </w:r>
    </w:p>
    <w:p>
      <w:pPr>
        <w:pStyle w:val="Normal"/>
        <w:ind w:firstLine="709"/>
        <w:jc w:val="both"/>
        <w:rPr>
          <w:sz w:val="28"/>
          <w:szCs w:val="28"/>
        </w:rPr>
      </w:pPr>
      <w:r>
        <w:rPr>
          <w:sz w:val="28"/>
          <w:szCs w:val="28"/>
        </w:rPr>
        <w:t xml:space="preserve">По итогам 2017 г. на территории Тереньгульского района отгружено товаров, работ и услуг собственного производства в промышленности на сумму 935,5 млн. руб. Такой высокий объём отгрузки товаров зафиксирован впервые в Тереньгульском районе за последние 10 лет. </w:t>
      </w:r>
    </w:p>
    <w:p>
      <w:pPr>
        <w:pStyle w:val="Normal"/>
        <w:ind w:firstLine="709"/>
        <w:jc w:val="both"/>
        <w:rPr>
          <w:sz w:val="28"/>
          <w:szCs w:val="28"/>
          <w:lang w:val="en-US"/>
        </w:rPr>
      </w:pPr>
      <w:r>
        <w:rPr>
          <w:sz w:val="28"/>
          <w:szCs w:val="28"/>
        </w:rPr>
        <w:t>Данные об объёмах отгруженных товаров, работ и услуг собственного производства в промышленности и динамике за период 2008-2017 гг. в Тереньгульском районе представлены на рисунке 2. На графике видно, что темп роста отгрузки товаров за 2017 г. превысил значение показателя 2008 г. в 8,5 раз. Такие положительные тенденции в промышленном секторе экономики Тереньгульского района связаны с ростом инвестиций в промышленные предприятия, а также увеличением объёма добычи полезных ископаемых.</w:t>
      </w:r>
    </w:p>
    <w:p>
      <w:pPr>
        <w:pStyle w:val="Normal"/>
        <w:ind w:firstLine="709"/>
        <w:jc w:val="both"/>
        <w:rPr>
          <w:sz w:val="28"/>
          <w:szCs w:val="28"/>
          <w:lang w:val="en-US"/>
        </w:rPr>
      </w:pPr>
      <w:r>
        <w:rPr>
          <w:sz w:val="28"/>
          <w:szCs w:val="28"/>
          <w:lang w:val="en-US"/>
        </w:rPr>
      </w:r>
    </w:p>
    <w:p>
      <w:pPr>
        <w:pStyle w:val="Normal"/>
        <w:keepNext w:val="true"/>
        <w:jc w:val="center"/>
        <w:rPr/>
      </w:pPr>
      <w:r>
        <w:rPr/>
        <w:drawing>
          <wp:inline distT="0" distB="0" distL="0" distR="0">
            <wp:extent cx="5943600" cy="397637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Caption"/>
        <w:spacing w:before="120" w:after="120"/>
        <w:jc w:val="center"/>
        <w:rPr>
          <w:color w:val="auto"/>
          <w:spacing w:val="-4"/>
          <w:sz w:val="28"/>
          <w:szCs w:val="28"/>
        </w:rPr>
      </w:pPr>
      <w:r>
        <w:rPr>
          <w:color w:val="auto"/>
          <w:spacing w:val="-4"/>
          <w:sz w:val="28"/>
          <w:szCs w:val="28"/>
        </w:rPr>
        <w:t xml:space="preserve">Рисунок </w:t>
      </w:r>
      <w:r>
        <w:rPr>
          <w:spacing w:val="-4"/>
          <w:sz w:val="28"/>
          <w:szCs w:val="28"/>
        </w:rPr>
        <w:fldChar w:fldCharType="begin"/>
      </w:r>
      <w:r>
        <w:rPr>
          <w:sz w:val="28"/>
          <w:spacing w:val="-4"/>
          <w:szCs w:val="28"/>
        </w:rPr>
        <w:instrText> SEQ Рисунок \* ARABIC </w:instrText>
      </w:r>
      <w:r>
        <w:rPr>
          <w:sz w:val="28"/>
          <w:spacing w:val="-4"/>
          <w:szCs w:val="28"/>
        </w:rPr>
        <w:fldChar w:fldCharType="separate"/>
      </w:r>
      <w:r>
        <w:rPr>
          <w:sz w:val="28"/>
          <w:spacing w:val="-4"/>
          <w:szCs w:val="28"/>
        </w:rPr>
        <w:t>2</w:t>
      </w:r>
      <w:r>
        <w:rPr>
          <w:sz w:val="28"/>
          <w:spacing w:val="-4"/>
          <w:szCs w:val="28"/>
        </w:rPr>
        <w:fldChar w:fldCharType="end"/>
      </w:r>
      <w:r>
        <w:rPr>
          <w:color w:val="auto"/>
          <w:spacing w:val="-4"/>
          <w:sz w:val="28"/>
          <w:szCs w:val="28"/>
        </w:rPr>
        <w:t xml:space="preserve"> - Динамика объёма отгруженных товаров, работ услуг </w:t>
        <w:br/>
        <w:t>в промышленном производстве в Тереньгульском районе за 2008-2017 гг.</w:t>
      </w:r>
    </w:p>
    <w:p>
      <w:pPr>
        <w:pStyle w:val="Normal"/>
        <w:ind w:firstLine="709"/>
        <w:jc w:val="both"/>
        <w:rPr>
          <w:sz w:val="28"/>
          <w:szCs w:val="28"/>
        </w:rPr>
      </w:pPr>
      <w:r>
        <w:rPr>
          <w:sz w:val="28"/>
          <w:szCs w:val="28"/>
        </w:rPr>
        <w:t>Объём отгруженных товаров в расчёте на душу населения по итогам 2017 г. составил 53,8 тыс. руб., т.е. констатируется рост подушевого показателя по отношению к уровню 2016 г. на 12,6%, а к уровню 2008 г. – в 9,3 раза.</w:t>
      </w:r>
    </w:p>
    <w:p>
      <w:pPr>
        <w:pStyle w:val="Normal"/>
        <w:ind w:firstLine="709"/>
        <w:jc w:val="both"/>
        <w:rPr>
          <w:sz w:val="28"/>
          <w:szCs w:val="28"/>
        </w:rPr>
      </w:pPr>
      <w:r>
        <w:rPr>
          <w:sz w:val="28"/>
          <w:szCs w:val="28"/>
        </w:rPr>
        <w:t>Производство промышленными предприятиями, расположенными на территории Тереньгульского района, осуществляется по следующим основным видам экономической деятельности:</w:t>
      </w:r>
    </w:p>
    <w:p>
      <w:pPr>
        <w:pStyle w:val="Normal"/>
        <w:ind w:firstLine="709"/>
        <w:jc w:val="both"/>
        <w:rPr>
          <w:sz w:val="28"/>
          <w:szCs w:val="28"/>
        </w:rPr>
      </w:pPr>
      <w:r>
        <w:rPr>
          <w:sz w:val="28"/>
          <w:szCs w:val="28"/>
        </w:rPr>
        <w:t>- добыча полезных ископаемых;</w:t>
      </w:r>
    </w:p>
    <w:p>
      <w:pPr>
        <w:pStyle w:val="Normal"/>
        <w:ind w:firstLine="709"/>
        <w:jc w:val="both"/>
        <w:rPr>
          <w:sz w:val="28"/>
          <w:szCs w:val="28"/>
        </w:rPr>
      </w:pPr>
      <w:r>
        <w:rPr>
          <w:sz w:val="28"/>
          <w:szCs w:val="28"/>
        </w:rPr>
        <w:t>- обрабатывающие производства;</w:t>
      </w:r>
    </w:p>
    <w:p>
      <w:pPr>
        <w:pStyle w:val="Normal"/>
        <w:ind w:firstLine="709"/>
        <w:jc w:val="both"/>
        <w:rPr>
          <w:sz w:val="28"/>
          <w:szCs w:val="28"/>
        </w:rPr>
      </w:pPr>
      <w:r>
        <w:rPr>
          <w:sz w:val="28"/>
          <w:szCs w:val="28"/>
        </w:rPr>
        <w:t>- производство и распределение электроэнергии и газа;</w:t>
      </w:r>
    </w:p>
    <w:p>
      <w:pPr>
        <w:pStyle w:val="Normal"/>
        <w:ind w:firstLine="709"/>
        <w:jc w:val="both"/>
        <w:rPr>
          <w:sz w:val="28"/>
          <w:szCs w:val="28"/>
        </w:rPr>
      </w:pPr>
      <w:r>
        <w:rPr>
          <w:sz w:val="28"/>
          <w:szCs w:val="28"/>
        </w:rPr>
        <w:t>- производство и распределение воды.</w:t>
      </w:r>
    </w:p>
    <w:p>
      <w:pPr>
        <w:pStyle w:val="Normal"/>
        <w:ind w:firstLine="709"/>
        <w:jc w:val="both"/>
        <w:rPr>
          <w:sz w:val="28"/>
          <w:szCs w:val="28"/>
        </w:rPr>
      </w:pPr>
      <w:r>
        <w:rPr>
          <w:sz w:val="28"/>
          <w:szCs w:val="28"/>
        </w:rPr>
        <w:t xml:space="preserve">В 2008 г. в структуре промышленного производства района приходилось на отгрузку товаров обрабатывающих производств – 65,7%, производство и распределение электроэнергии, газа, воды – 23,7%, добычу полезных ископаемых – 10,6%. </w:t>
      </w:r>
    </w:p>
    <w:p>
      <w:pPr>
        <w:pStyle w:val="Normal"/>
        <w:ind w:firstLine="709"/>
        <w:jc w:val="both"/>
        <w:rPr>
          <w:sz w:val="28"/>
          <w:szCs w:val="28"/>
        </w:rPr>
      </w:pPr>
      <w:r>
        <w:rPr>
          <w:sz w:val="28"/>
          <w:szCs w:val="28"/>
        </w:rPr>
        <w:t>По итогам 2017 г. прослеживается рост доли отгруженных товаров обрабатывающих и добывающих предприятий на 10,1% по сравнению с началом анализируемого периода.</w:t>
      </w:r>
    </w:p>
    <w:p>
      <w:pPr>
        <w:pStyle w:val="Normal"/>
        <w:ind w:firstLine="709"/>
        <w:jc w:val="both"/>
        <w:rPr>
          <w:sz w:val="28"/>
          <w:szCs w:val="28"/>
          <w:lang w:val="en-US"/>
        </w:rPr>
      </w:pPr>
      <w:r>
        <w:rPr>
          <w:sz w:val="28"/>
          <w:szCs w:val="28"/>
        </w:rPr>
        <w:t>В 2017 г. на промышленных предприятиях района трудилось 268 человек, размер среднемесячной заработной платы в организациях, действующих в промышленном секторе экономики Тереньгульского района, составил 15 944,3 руб. Максимальный размер оплаты труда зафиксирован в 2015 г. – 23 776,4 руб., а минимальный в 2008 г. 6 953,2 руб. Таким образом, два последних года характеризуются отрицательными темпами роста размера заработной платы работников в отрасли промышленности.</w:t>
      </w:r>
    </w:p>
    <w:p>
      <w:pPr>
        <w:pStyle w:val="Normal"/>
        <w:ind w:firstLine="709"/>
        <w:jc w:val="both"/>
        <w:rPr>
          <w:sz w:val="28"/>
          <w:szCs w:val="28"/>
          <w:lang w:val="en-US"/>
        </w:rPr>
      </w:pPr>
      <w:r>
        <w:rPr>
          <w:sz w:val="28"/>
          <w:szCs w:val="28"/>
          <w:lang w:val="en-US"/>
        </w:rPr>
      </w:r>
    </w:p>
    <w:p>
      <w:pPr>
        <w:pStyle w:val="Normal"/>
        <w:keepNext w:val="true"/>
        <w:jc w:val="center"/>
        <w:rPr/>
      </w:pPr>
      <w:r>
        <w:rPr/>
        <w:drawing>
          <wp:inline distT="0" distB="0" distL="0" distR="0">
            <wp:extent cx="5986145" cy="409384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3</w:t>
      </w:r>
      <w:r>
        <w:rPr>
          <w:sz w:val="28"/>
          <w:szCs w:val="28"/>
        </w:rPr>
        <w:fldChar w:fldCharType="end"/>
      </w:r>
      <w:r>
        <w:rPr>
          <w:color w:val="auto"/>
          <w:sz w:val="28"/>
          <w:szCs w:val="28"/>
        </w:rPr>
        <w:t xml:space="preserve"> - Динамика заработной платы работников в промышленном секторе экономики в Тереньгульском районе за 2008-2017 гг.</w:t>
      </w:r>
    </w:p>
    <w:p>
      <w:pPr>
        <w:pStyle w:val="Normal"/>
        <w:ind w:firstLine="709"/>
        <w:jc w:val="both"/>
        <w:rPr>
          <w:sz w:val="28"/>
          <w:szCs w:val="28"/>
        </w:rPr>
      </w:pPr>
      <w:r>
        <w:rPr>
          <w:sz w:val="28"/>
          <w:szCs w:val="28"/>
        </w:rPr>
      </w:r>
    </w:p>
    <w:p>
      <w:pPr>
        <w:pStyle w:val="Normal"/>
        <w:ind w:firstLine="709"/>
        <w:jc w:val="both"/>
        <w:rPr>
          <w:b/>
          <w:b/>
          <w:sz w:val="28"/>
          <w:szCs w:val="28"/>
        </w:rPr>
      </w:pPr>
      <w:r>
        <w:rPr>
          <w:sz w:val="28"/>
          <w:szCs w:val="28"/>
        </w:rPr>
        <w:t xml:space="preserve">Отрасль промышленности Тереньгульского района главным образом представлена малыми предприятиями в сфере добычи полезных ископаемых (кварцевый и формовочный песок, строительный камень, мел) и производства продуктов питания (творог, молоко, йогурт, мясные полуфабрикаты, хлебобулочные изделия). </w:t>
      </w:r>
      <w:r>
        <w:rPr>
          <w:b/>
          <w:sz w:val="28"/>
          <w:szCs w:val="28"/>
        </w:rPr>
        <w:t>Эти направления в промышленной сфере следует рассматривать как приоритетные инвестиционные направления развития экономики Тереньгульского района.</w:t>
      </w:r>
    </w:p>
    <w:p>
      <w:pPr>
        <w:pStyle w:val="Normal"/>
        <w:ind w:firstLine="709"/>
        <w:jc w:val="both"/>
        <w:rPr>
          <w:sz w:val="28"/>
          <w:szCs w:val="28"/>
        </w:rPr>
      </w:pPr>
      <w:r>
        <w:rPr>
          <w:sz w:val="28"/>
          <w:szCs w:val="28"/>
        </w:rPr>
      </w:r>
    </w:p>
    <w:p>
      <w:pPr>
        <w:pStyle w:val="Normal"/>
        <w:ind w:firstLine="709"/>
        <w:jc w:val="both"/>
        <w:rPr>
          <w:b/>
          <w:b/>
          <w:sz w:val="28"/>
          <w:szCs w:val="28"/>
          <w:u w:val="single"/>
        </w:rPr>
      </w:pPr>
      <w:r>
        <w:rPr>
          <w:b/>
          <w:sz w:val="28"/>
          <w:szCs w:val="28"/>
          <w:u w:val="single"/>
        </w:rPr>
        <w:t>Основными представителями данных направлений являются:</w:t>
      </w:r>
    </w:p>
    <w:p>
      <w:pPr>
        <w:pStyle w:val="Normal"/>
        <w:ind w:firstLine="709"/>
        <w:jc w:val="both"/>
        <w:rPr>
          <w:b/>
          <w:b/>
          <w:sz w:val="28"/>
          <w:szCs w:val="28"/>
        </w:rPr>
      </w:pPr>
      <w:r>
        <w:rPr>
          <w:b/>
          <w:sz w:val="28"/>
          <w:szCs w:val="28"/>
        </w:rPr>
        <w:t>ООО «Лукьяновский горнообогатительный комбинат»</w:t>
      </w:r>
    </w:p>
    <w:p>
      <w:pPr>
        <w:pStyle w:val="Normal"/>
        <w:ind w:firstLine="709"/>
        <w:jc w:val="both"/>
        <w:rPr>
          <w:sz w:val="28"/>
          <w:szCs w:val="28"/>
        </w:rPr>
      </w:pPr>
      <w:r>
        <w:rPr>
          <w:sz w:val="28"/>
          <w:szCs w:val="28"/>
        </w:rPr>
        <w:t xml:space="preserve">Основной вид деятельности </w:t>
      </w:r>
      <w:r>
        <w:rPr>
          <w:rFonts w:eastAsia="Calibri" w:cs="Times New Roman"/>
          <w:sz w:val="28"/>
          <w:szCs w:val="28"/>
        </w:rPr>
        <w:t>–</w:t>
      </w:r>
      <w:r>
        <w:rPr>
          <w:sz w:val="28"/>
          <w:szCs w:val="28"/>
        </w:rPr>
        <w:t xml:space="preserve"> разработка гравийных и песчаных карьеров.</w:t>
      </w:r>
    </w:p>
    <w:p>
      <w:pPr>
        <w:pStyle w:val="Normal"/>
        <w:ind w:firstLine="709"/>
        <w:jc w:val="both"/>
        <w:rPr>
          <w:sz w:val="28"/>
          <w:szCs w:val="28"/>
        </w:rPr>
      </w:pPr>
      <w:r>
        <w:rPr>
          <w:sz w:val="28"/>
          <w:szCs w:val="28"/>
        </w:rPr>
        <w:t>Среднесписочная численность работников по итогам 2017 г. составила 118 человек, увеличение на 46% по сравнению с аналогичным периодом 2016 г. (81 человек).</w:t>
      </w:r>
    </w:p>
    <w:p>
      <w:pPr>
        <w:pStyle w:val="Normal"/>
        <w:ind w:firstLine="709"/>
        <w:jc w:val="both"/>
        <w:rPr>
          <w:sz w:val="28"/>
          <w:szCs w:val="28"/>
        </w:rPr>
      </w:pPr>
      <w:r>
        <w:rPr>
          <w:sz w:val="28"/>
          <w:szCs w:val="28"/>
        </w:rPr>
        <w:t>Среднемесячная заработная плата в 2017 г. – 28 766 руб., увеличение на 4% по сравнению с 2016 г. (27 748 руб.).</w:t>
      </w:r>
    </w:p>
    <w:p>
      <w:pPr>
        <w:pStyle w:val="Normal"/>
        <w:ind w:firstLine="709"/>
        <w:jc w:val="both"/>
        <w:rPr>
          <w:sz w:val="28"/>
          <w:szCs w:val="28"/>
        </w:rPr>
      </w:pPr>
      <w:r>
        <w:rPr>
          <w:sz w:val="28"/>
          <w:szCs w:val="28"/>
        </w:rPr>
        <w:t>Выручка от реализации отгруженной продукции в 2017 г. составила 443 624 тыс. руб., увеличение на 37% по сравнению с 2016 г. (323 840 тыс. руб.).</w:t>
      </w:r>
    </w:p>
    <w:p>
      <w:pPr>
        <w:pStyle w:val="Normal"/>
        <w:ind w:firstLine="709"/>
        <w:jc w:val="both"/>
        <w:rPr>
          <w:sz w:val="28"/>
          <w:szCs w:val="28"/>
        </w:rPr>
      </w:pPr>
      <w:r>
        <w:rPr>
          <w:sz w:val="28"/>
          <w:szCs w:val="28"/>
        </w:rPr>
        <w:t>Производительность труда в 2017 г. составила 3 759,53 тыс. руб./чел., уменьшение на 6% по сравнению с 2016 г. – 3 998 тыс. руб./чел.</w:t>
      </w:r>
    </w:p>
    <w:p>
      <w:pPr>
        <w:pStyle w:val="Normal"/>
        <w:ind w:firstLine="709"/>
        <w:jc w:val="both"/>
        <w:rPr>
          <w:sz w:val="28"/>
          <w:szCs w:val="28"/>
        </w:rPr>
      </w:pPr>
      <w:r>
        <w:rPr>
          <w:sz w:val="28"/>
          <w:szCs w:val="28"/>
        </w:rPr>
        <w:t>Оплачено налогов в бюджеты всех уровней в 2017 г. – 10 421 тыс. руб., снижение на 1% по сравнению с 2016 г. (10 499 тыс. руб.).</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ООО «Тереньгульский маслодельный завод»</w:t>
      </w:r>
    </w:p>
    <w:p>
      <w:pPr>
        <w:pStyle w:val="Normal"/>
        <w:ind w:firstLine="709"/>
        <w:jc w:val="both"/>
        <w:rPr>
          <w:sz w:val="28"/>
          <w:szCs w:val="28"/>
        </w:rPr>
      </w:pPr>
      <w:r>
        <w:rPr>
          <w:sz w:val="28"/>
          <w:szCs w:val="28"/>
        </w:rPr>
        <w:t xml:space="preserve">Основной вид деятельности </w:t>
      </w:r>
      <w:r>
        <w:rPr>
          <w:rFonts w:eastAsia="Symbol" w:cs="Symbol" w:ascii="Symbol" w:hAnsi="Symbol"/>
          <w:sz w:val="28"/>
          <w:szCs w:val="20"/>
          <w:lang w:eastAsia="zh-CN"/>
        </w:rPr>
        <w:t></w:t>
      </w:r>
      <w:r>
        <w:rPr>
          <w:rFonts w:cs="Times New Roman"/>
          <w:sz w:val="28"/>
          <w:szCs w:val="20"/>
          <w:lang w:eastAsia="zh-CN"/>
        </w:rPr>
        <w:t xml:space="preserve"> </w:t>
      </w:r>
      <w:r>
        <w:rPr>
          <w:sz w:val="28"/>
          <w:szCs w:val="28"/>
        </w:rPr>
        <w:t>производство питьевого молока и питьевых сливок.</w:t>
      </w:r>
    </w:p>
    <w:p>
      <w:pPr>
        <w:pStyle w:val="Normal"/>
        <w:ind w:firstLine="709"/>
        <w:jc w:val="both"/>
        <w:rPr>
          <w:sz w:val="28"/>
          <w:szCs w:val="28"/>
        </w:rPr>
      </w:pPr>
      <w:r>
        <w:rPr>
          <w:sz w:val="28"/>
          <w:szCs w:val="28"/>
        </w:rPr>
        <w:t>Среднесписочная численность работников в 2017 г. – 110 человек. Численность работников увеличилась на 5% по сравнению с 2016 г. (105 человек).</w:t>
      </w:r>
    </w:p>
    <w:p>
      <w:pPr>
        <w:pStyle w:val="Normal"/>
        <w:ind w:firstLine="709"/>
        <w:jc w:val="both"/>
        <w:rPr>
          <w:sz w:val="28"/>
          <w:szCs w:val="28"/>
        </w:rPr>
      </w:pPr>
      <w:r>
        <w:rPr>
          <w:sz w:val="28"/>
          <w:szCs w:val="28"/>
        </w:rPr>
        <w:t>Среднемесячная заработная плата в 2017 г. составила 15 245 руб. Уровень заработной платы увеличился на 74% по сравнению с 2016 г. (8 781 руб.).</w:t>
      </w:r>
    </w:p>
    <w:p>
      <w:pPr>
        <w:pStyle w:val="Normal"/>
        <w:ind w:firstLine="709"/>
        <w:jc w:val="both"/>
        <w:rPr>
          <w:sz w:val="28"/>
          <w:szCs w:val="28"/>
        </w:rPr>
      </w:pPr>
      <w:r>
        <w:rPr>
          <w:sz w:val="28"/>
          <w:szCs w:val="28"/>
        </w:rPr>
        <w:t>Объём реализованной продукции в 2017 г. составил 379 608 тыс. руб., что меньше на 3% по сравнению с 2016 г. (389 753 тыс. руб.).</w:t>
      </w:r>
    </w:p>
    <w:p>
      <w:pPr>
        <w:pStyle w:val="Normal"/>
        <w:ind w:firstLine="709"/>
        <w:jc w:val="both"/>
        <w:rPr>
          <w:sz w:val="28"/>
          <w:szCs w:val="28"/>
        </w:rPr>
      </w:pPr>
      <w:r>
        <w:rPr>
          <w:sz w:val="28"/>
          <w:szCs w:val="28"/>
        </w:rPr>
        <w:t>Производительность труда продукции в 2017 г. составила 3 451 тыс. руб./чел., что меньше на 7% по сравнению с 2016 г. – 3 711,9 тыс. руб./чел.</w:t>
      </w:r>
    </w:p>
    <w:p>
      <w:pPr>
        <w:pStyle w:val="Normal"/>
        <w:ind w:firstLine="709"/>
        <w:jc w:val="both"/>
        <w:rPr>
          <w:sz w:val="28"/>
          <w:szCs w:val="28"/>
        </w:rPr>
      </w:pPr>
      <w:r>
        <w:rPr>
          <w:sz w:val="28"/>
          <w:szCs w:val="28"/>
        </w:rPr>
        <w:t>Оплачено налогов в бюджеты всех уровней в 2017 г. – 12 293 тыс. руб., что меньше на 1% по сравнению с 2016 г. – 12 388 тыс. руб.</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Таким образом, </w:t>
      </w:r>
      <w:r>
        <w:rPr>
          <w:b/>
          <w:sz w:val="28"/>
          <w:szCs w:val="28"/>
        </w:rPr>
        <w:t>одним из преимуществ Тереньгульского района является сырьевая база.</w:t>
      </w:r>
      <w:r>
        <w:rPr>
          <w:sz w:val="28"/>
          <w:szCs w:val="28"/>
        </w:rPr>
        <w:t xml:space="preserve"> На территории района открыто и разведано «Лукьяновское» месторождение формовочных песков – в 2-х км к северу от ж.д. разъезда Ташла, месторождение строительных песков – в 2,5 км к юго-востоку от с. Молвино, месторождение строительного камня «Риновка» – в 3 км на северо-запад от с. Ясашная Ташла, Белогорское месторождение мела – северная окраина с. Белогорское, месторождение мела «Солдатская Ташла» – в 25 км к северо-западу от р.п. Тереньга. Следовательно, сырьевой потенциал, которым располагает Тереньгульский район, может обеспечить хорошие перспективы для привлечения инвесторов.</w:t>
      </w:r>
    </w:p>
    <w:p>
      <w:pPr>
        <w:pStyle w:val="Normal"/>
        <w:ind w:firstLine="709"/>
        <w:jc w:val="both"/>
        <w:rPr>
          <w:sz w:val="28"/>
          <w:szCs w:val="28"/>
        </w:rPr>
      </w:pPr>
      <w:r>
        <w:rPr>
          <w:sz w:val="28"/>
          <w:szCs w:val="28"/>
        </w:rPr>
        <w:t>Эффективное использование сырьевого потенциала района может обеспечить опережающие темпы развития экономики муниципалитета, рост благосостояния граждан, а также сохранить значительную часть сырьевых ресурсов для нужд будущего поколения.</w:t>
      </w:r>
    </w:p>
    <w:p>
      <w:pPr>
        <w:pStyle w:val="Normal"/>
        <w:ind w:firstLine="709"/>
        <w:jc w:val="both"/>
        <w:rPr>
          <w:lang w:val="en-US"/>
        </w:rPr>
      </w:pPr>
      <w:r>
        <w:rPr>
          <w:b/>
          <w:sz w:val="28"/>
          <w:szCs w:val="28"/>
        </w:rPr>
        <w:t>Среди основных проблем промышленной отрасли</w:t>
      </w:r>
      <w:r>
        <w:rPr>
          <w:sz w:val="28"/>
          <w:szCs w:val="28"/>
        </w:rPr>
        <w:t xml:space="preserve"> можно выделить недостаточное вложений инвестиций в модернизацию промышленных предприятий, низкий уровень технологической оснащенности старых промышленных предприятий, низкий уровень оплаты труда работников в промышленном секторе экономики</w:t>
      </w:r>
      <w:r>
        <w:rPr/>
        <w:t>.</w:t>
      </w:r>
    </w:p>
    <w:p>
      <w:pPr>
        <w:pStyle w:val="Normal"/>
        <w:rPr/>
      </w:pPr>
      <w:bookmarkStart w:id="6" w:name="_Toc2237188"/>
      <w:bookmarkStart w:id="7" w:name="_Toc4404987"/>
      <w:r>
        <w:rPr/>
        <w:t>1.2. Сельское хозяйство</w:t>
      </w:r>
      <w:bookmarkEnd w:id="6"/>
      <w:bookmarkEnd w:id="7"/>
    </w:p>
    <w:p>
      <w:pPr>
        <w:pStyle w:val="Normal"/>
        <w:ind w:firstLine="708"/>
        <w:jc w:val="both"/>
        <w:rPr>
          <w:rFonts w:cs="Times New Roman"/>
          <w:sz w:val="28"/>
          <w:szCs w:val="28"/>
        </w:rPr>
      </w:pPr>
      <w:r>
        <w:rPr>
          <w:rFonts w:cs="Times New Roman"/>
          <w:sz w:val="28"/>
          <w:szCs w:val="28"/>
        </w:rPr>
        <w:t>В агропромышленном комплексе Тереньгульского района производство ведут:</w:t>
      </w:r>
    </w:p>
    <w:p>
      <w:pPr>
        <w:pStyle w:val="Normal"/>
        <w:ind w:firstLine="708"/>
        <w:jc w:val="both"/>
        <w:rPr>
          <w:rFonts w:cs="Times New Roman"/>
          <w:sz w:val="28"/>
          <w:szCs w:val="28"/>
        </w:rPr>
      </w:pPr>
      <w:r>
        <w:rPr>
          <w:rFonts w:cs="Times New Roman"/>
          <w:sz w:val="28"/>
          <w:szCs w:val="28"/>
        </w:rPr>
        <w:t>1. Сельскохозяйственные организации:</w:t>
      </w:r>
    </w:p>
    <w:p>
      <w:pPr>
        <w:pStyle w:val="Normal"/>
        <w:ind w:firstLine="709"/>
        <w:jc w:val="both"/>
        <w:rPr>
          <w:rFonts w:ascii="Calibri" w:hAnsi="Calibri" w:eastAsia="Calibri" w:cs="Times New Roman"/>
          <w:sz w:val="22"/>
          <w:szCs w:val="22"/>
          <w:lang w:eastAsia="en-US"/>
        </w:rPr>
      </w:pPr>
      <w:r>
        <w:rPr>
          <w:rFonts w:cs="Times New Roman"/>
          <w:sz w:val="28"/>
          <w:szCs w:val="28"/>
        </w:rPr>
        <w:t>- </w:t>
      </w:r>
      <w:r>
        <w:rPr>
          <w:rFonts w:cs="Times New Roman"/>
          <w:b/>
          <w:sz w:val="28"/>
          <w:szCs w:val="28"/>
        </w:rPr>
        <w:t>ООО «РОС-Бекон»,</w:t>
      </w:r>
      <w:r>
        <w:rPr>
          <w:rFonts w:cs="Times New Roman"/>
          <w:sz w:val="28"/>
          <w:szCs w:val="28"/>
        </w:rPr>
        <w:t xml:space="preserve"> </w:t>
      </w:r>
      <w:r>
        <w:rPr>
          <w:rFonts w:cs="Times New Roman"/>
          <w:sz w:val="28"/>
          <w:szCs w:val="28"/>
          <w:lang w:eastAsia="ru-RU"/>
        </w:rPr>
        <w:t xml:space="preserve">основной вид деятельности – разведение свиней, </w:t>
      </w:r>
      <w:r>
        <w:rPr>
          <w:rFonts w:cs="Tinos" w:ascii="Tinos" w:hAnsi="Tinos"/>
          <w:sz w:val="28"/>
          <w:szCs w:val="28"/>
        </w:rPr>
        <w:t>80% от общего объёма производства мяса приходится на данное предприятие, с</w:t>
      </w:r>
      <w:r>
        <w:rPr>
          <w:rFonts w:cs="Times New Roman"/>
          <w:sz w:val="28"/>
          <w:szCs w:val="28"/>
          <w:lang w:eastAsia="ru-RU"/>
        </w:rPr>
        <w:t>реднесписочная численность работников 113 человек</w:t>
      </w:r>
      <w:r>
        <w:rPr>
          <w:rFonts w:cs="Times New Roman"/>
          <w:sz w:val="28"/>
          <w:szCs w:val="28"/>
        </w:rPr>
        <w:t>, с</w:t>
      </w:r>
      <w:r>
        <w:rPr>
          <w:sz w:val="28"/>
          <w:szCs w:val="28"/>
          <w:lang w:eastAsia="ru-RU"/>
        </w:rPr>
        <w:t>реднемесячная заработная плата за период январь-ноябрь 2018 г. 31 574 руб.;</w:t>
      </w:r>
    </w:p>
    <w:p>
      <w:pPr>
        <w:pStyle w:val="Normal"/>
        <w:ind w:firstLine="709"/>
        <w:jc w:val="both"/>
        <w:rPr>
          <w:rFonts w:ascii="Calibri" w:hAnsi="Calibri" w:eastAsia="Calibri" w:cs="Times New Roman"/>
          <w:sz w:val="22"/>
          <w:szCs w:val="22"/>
          <w:lang w:eastAsia="en-US"/>
        </w:rPr>
      </w:pPr>
      <w:r>
        <w:rPr>
          <w:rFonts w:cs="Times New Roman"/>
          <w:sz w:val="28"/>
          <w:szCs w:val="28"/>
        </w:rPr>
        <w:t>- </w:t>
      </w:r>
      <w:r>
        <w:rPr>
          <w:rFonts w:cs="Times New Roman"/>
          <w:b/>
          <w:sz w:val="28"/>
          <w:szCs w:val="28"/>
        </w:rPr>
        <w:t>ООО «Зерновая Компания «Поволжье»,</w:t>
      </w:r>
      <w:r>
        <w:rPr>
          <w:rFonts w:cs="Times New Roman"/>
          <w:sz w:val="28"/>
          <w:szCs w:val="28"/>
        </w:rPr>
        <w:t xml:space="preserve"> </w:t>
      </w:r>
      <w:r>
        <w:rPr>
          <w:rFonts w:cs="Times New Roman"/>
          <w:sz w:val="28"/>
          <w:szCs w:val="28"/>
          <w:lang w:eastAsia="ru-RU"/>
        </w:rPr>
        <w:t>основной вид деятельности – выращивание зерновых культур, среднесписочная численность работников за период январь-ноябрь 2018 г. – 92 человек</w:t>
      </w:r>
      <w:r>
        <w:rPr>
          <w:sz w:val="28"/>
          <w:szCs w:val="28"/>
          <w:lang w:eastAsia="ru-RU"/>
        </w:rPr>
        <w:t>, среднемесячная заработная плата за период январь-ноябрь 2018 г. – 19 837 руб.;</w:t>
      </w:r>
    </w:p>
    <w:p>
      <w:pPr>
        <w:pStyle w:val="Normal"/>
        <w:ind w:firstLine="708"/>
        <w:jc w:val="both"/>
        <w:rPr>
          <w:rFonts w:cs="Times New Roman"/>
          <w:sz w:val="28"/>
          <w:szCs w:val="28"/>
        </w:rPr>
      </w:pPr>
      <w:r>
        <w:rPr>
          <w:rFonts w:cs="Times New Roman"/>
          <w:sz w:val="28"/>
          <w:szCs w:val="28"/>
        </w:rPr>
        <w:t>- </w:t>
      </w:r>
      <w:r>
        <w:rPr>
          <w:rFonts w:cs="Times New Roman"/>
          <w:b/>
          <w:sz w:val="28"/>
          <w:szCs w:val="28"/>
        </w:rPr>
        <w:t>ООО «Росток»,</w:t>
      </w:r>
      <w:r>
        <w:rPr>
          <w:rFonts w:cs="Times New Roman"/>
          <w:sz w:val="28"/>
          <w:szCs w:val="28"/>
          <w:lang w:eastAsia="ru-RU"/>
        </w:rPr>
        <w:t xml:space="preserve"> основной вид деятельности –</w:t>
      </w:r>
      <w:r>
        <w:rPr>
          <w:rFonts w:cs="Times New Roman"/>
          <w:sz w:val="28"/>
          <w:szCs w:val="28"/>
        </w:rPr>
        <w:t xml:space="preserve"> </w:t>
      </w:r>
      <w:r>
        <w:rPr>
          <w:rFonts w:cs="Times New Roman"/>
          <w:sz w:val="28"/>
          <w:szCs w:val="28"/>
          <w:shd w:fill="FFFFFF" w:val="clear"/>
        </w:rPr>
        <w:t xml:space="preserve">выращивание зерновых культур, </w:t>
      </w:r>
      <w:r>
        <w:rPr>
          <w:rFonts w:cs="Tinos" w:ascii="Tinos" w:hAnsi="Tinos"/>
          <w:sz w:val="28"/>
          <w:szCs w:val="28"/>
        </w:rPr>
        <w:t>с</w:t>
      </w:r>
      <w:r>
        <w:rPr>
          <w:rFonts w:cs="Times New Roman"/>
          <w:sz w:val="28"/>
          <w:szCs w:val="28"/>
          <w:lang w:eastAsia="ru-RU"/>
        </w:rPr>
        <w:t>реднесписочная численность работников 14 человек.</w:t>
      </w:r>
    </w:p>
    <w:p>
      <w:pPr>
        <w:pStyle w:val="Normal"/>
        <w:ind w:firstLine="708"/>
        <w:jc w:val="both"/>
        <w:rPr>
          <w:rFonts w:cs="Times New Roman"/>
          <w:sz w:val="28"/>
          <w:szCs w:val="28"/>
        </w:rPr>
      </w:pPr>
      <w:r>
        <w:rPr>
          <w:rFonts w:cs="Times New Roman"/>
          <w:sz w:val="28"/>
          <w:szCs w:val="28"/>
        </w:rPr>
        <w:t>Также в перечне сельскохозяйственных организаций района находятся ООО «Рассвет», ООО «Сосновская бурёнушка»,</w:t>
      </w:r>
      <w:r>
        <w:rPr>
          <w:rFonts w:cs="Arial" w:ascii="Arial" w:hAnsi="Arial"/>
          <w:sz w:val="18"/>
          <w:szCs w:val="18"/>
        </w:rPr>
        <w:t xml:space="preserve"> </w:t>
      </w:r>
      <w:r>
        <w:rPr>
          <w:rFonts w:cs="Times New Roman"/>
          <w:sz w:val="28"/>
          <w:szCs w:val="28"/>
        </w:rPr>
        <w:t xml:space="preserve">ФГУСХП «Ульяновское», </w:t>
      </w:r>
      <w:r>
        <w:rPr>
          <w:sz w:val="28"/>
          <w:szCs w:val="28"/>
        </w:rPr>
        <w:t>сельскохозяйственный потребительский смешанный (комплексный) кооператив «Тереньгульский комбинат фермерских экопродуктов «Красная звезда»;</w:t>
      </w:r>
    </w:p>
    <w:p>
      <w:pPr>
        <w:pStyle w:val="Normal"/>
        <w:ind w:firstLine="709"/>
        <w:jc w:val="both"/>
        <w:rPr>
          <w:rFonts w:cs="Times New Roman"/>
          <w:sz w:val="28"/>
          <w:szCs w:val="28"/>
        </w:rPr>
      </w:pPr>
      <w:r>
        <w:rPr>
          <w:rFonts w:cs="Times New Roman"/>
          <w:sz w:val="28"/>
          <w:szCs w:val="28"/>
        </w:rPr>
        <w:t>2. Индивидуальные предприниматели (главы крестьянских (фермерских) хозяйств) – 25 человек;</w:t>
      </w:r>
    </w:p>
    <w:p>
      <w:pPr>
        <w:pStyle w:val="Normal"/>
        <w:ind w:firstLine="708"/>
        <w:jc w:val="both"/>
        <w:rPr>
          <w:rFonts w:cs="Times New Roman"/>
          <w:sz w:val="28"/>
          <w:szCs w:val="28"/>
        </w:rPr>
      </w:pPr>
      <w:r>
        <w:rPr>
          <w:rFonts w:cs="Times New Roman"/>
          <w:sz w:val="28"/>
          <w:szCs w:val="28"/>
        </w:rPr>
        <w:t>3. Жители района, занимающиеся ведением личного подсобного хозяйства – около 7 000 человек.</w:t>
      </w:r>
    </w:p>
    <w:p>
      <w:pPr>
        <w:pStyle w:val="Normal"/>
        <w:ind w:firstLine="708"/>
        <w:jc w:val="both"/>
        <w:rPr/>
      </w:pPr>
      <w:r>
        <w:rPr>
          <w:rFonts w:cs="Times New Roman"/>
          <w:sz w:val="28"/>
          <w:szCs w:val="28"/>
        </w:rPr>
        <w:t xml:space="preserve">Среднегодовая численность занятых в сельском хозяйстве за 2017 г. составила 257 человек. </w:t>
      </w:r>
      <w:r>
        <w:rPr>
          <w:rFonts w:eastAsia="Calibri" w:cs="Tinos" w:ascii="Tinos" w:hAnsi="Tinos"/>
          <w:sz w:val="28"/>
          <w:szCs w:val="28"/>
          <w:lang w:eastAsia="zh-CN"/>
        </w:rPr>
        <w:t>Всего на 01.01.2018 г. имеется 46 тракторов, 41 комбайн, 32 грузовых автомобиля. Ведётся обновление и модернизация машинно-тракторного парка, технологическое перевооружение устаревшего оборудования. За 2018 2018 год сельскохозяйственными товаропроизводителями приобретено 2 трактора, 1 зерноуборочный комбайн и прочая техника на общую сумму 7,8 млн. руб.</w:t>
      </w:r>
    </w:p>
    <w:p>
      <w:pPr>
        <w:pStyle w:val="Normal"/>
        <w:ind w:firstLine="708"/>
        <w:jc w:val="both"/>
        <w:rPr>
          <w:rFonts w:cs="Times New Roman"/>
          <w:sz w:val="28"/>
          <w:szCs w:val="28"/>
        </w:rPr>
      </w:pPr>
      <w:r>
        <w:rPr>
          <w:rFonts w:cs="Times New Roman"/>
          <w:sz w:val="28"/>
          <w:szCs w:val="28"/>
        </w:rPr>
        <w:t>Общая площадь земель сельскохозяйственного назначения Тереньгульского района на 01.01.2018 г. – 115 874 га (это 66% от общей территории района), площадь пашни составляет 85 023 га. Посевная площадь составила 26 700 га (84% к уровню 2017 г.). Производство зерна в 2017 г. составило 29 200 тонн – 151,3% к уровню 2016 г.</w:t>
      </w:r>
    </w:p>
    <w:p>
      <w:pPr>
        <w:pStyle w:val="Normal"/>
        <w:ind w:firstLine="708"/>
        <w:jc w:val="both"/>
        <w:rPr>
          <w:rFonts w:cs="Times New Roman"/>
          <w:sz w:val="28"/>
          <w:szCs w:val="28"/>
        </w:rPr>
      </w:pPr>
      <w:r>
        <w:rPr>
          <w:rFonts w:cs="Times New Roman"/>
          <w:sz w:val="28"/>
          <w:szCs w:val="28"/>
        </w:rPr>
        <w:t>По состоянию на 01.01.2018 г. поголовье КРС в хозяйствах района составило 3 200 голов, 114,3% к периоду 2016 г.; поголовье свиней 20 400 голов, 104,1% к уровню 2016 г.</w:t>
      </w:r>
    </w:p>
    <w:p>
      <w:pPr>
        <w:pStyle w:val="Normal"/>
        <w:ind w:firstLine="708"/>
        <w:jc w:val="both"/>
        <w:rPr>
          <w:rFonts w:cs="Times New Roman"/>
          <w:sz w:val="28"/>
          <w:szCs w:val="28"/>
        </w:rPr>
      </w:pPr>
      <w:r>
        <w:rPr>
          <w:rFonts w:cs="Times New Roman"/>
          <w:spacing w:val="-2"/>
          <w:sz w:val="28"/>
          <w:szCs w:val="28"/>
        </w:rPr>
        <w:t>Валовый надой молока в хозяйствах всех категорий района на 01.01.2018 г.</w:t>
      </w:r>
      <w:r>
        <w:rPr>
          <w:rFonts w:cs="Times New Roman"/>
          <w:sz w:val="28"/>
          <w:szCs w:val="28"/>
        </w:rPr>
        <w:t xml:space="preserve"> составил 5 300 тонн, или 100% к уровню 2016 г.</w:t>
      </w:r>
    </w:p>
    <w:p>
      <w:pPr>
        <w:pStyle w:val="Normal"/>
        <w:ind w:firstLine="708"/>
        <w:jc w:val="both"/>
        <w:rPr>
          <w:rFonts w:cs="Times New Roman"/>
          <w:sz w:val="28"/>
          <w:szCs w:val="28"/>
        </w:rPr>
      </w:pPr>
      <w:r>
        <w:rPr>
          <w:rFonts w:cs="Times New Roman"/>
          <w:sz w:val="28"/>
          <w:szCs w:val="28"/>
        </w:rPr>
        <w:t>Производство мяса в хозяйствах всех категорий (скот и птица на убой в живом весе) на 01.01.2018 г. – 4 900 тонн или 106,5% к уровню 2016 г.</w:t>
      </w:r>
    </w:p>
    <w:p>
      <w:pPr>
        <w:pStyle w:val="Normal"/>
        <w:ind w:firstLine="708"/>
        <w:jc w:val="both"/>
        <w:rPr>
          <w:rFonts w:cs="Times New Roman"/>
          <w:sz w:val="28"/>
          <w:szCs w:val="28"/>
        </w:rPr>
      </w:pPr>
      <w:r>
        <w:rPr>
          <w:rFonts w:cs="Times New Roman"/>
          <w:sz w:val="28"/>
          <w:szCs w:val="28"/>
        </w:rPr>
        <w:t>Стоимость продукции сельского хозяйства всех сельхозпроизводителей за 2017 г. составила 1 103 547 тыс. руб. или 105,6 % к уровню 2016 г.</w:t>
      </w:r>
    </w:p>
    <w:p>
      <w:pPr>
        <w:pStyle w:val="Normal"/>
        <w:ind w:firstLine="708"/>
        <w:jc w:val="both"/>
        <w:rPr>
          <w:rFonts w:cs="Times New Roman"/>
          <w:sz w:val="28"/>
          <w:szCs w:val="28"/>
        </w:rPr>
      </w:pPr>
      <w:r>
        <w:rPr>
          <w:rFonts w:cs="Times New Roman"/>
          <w:sz w:val="28"/>
          <w:szCs w:val="28"/>
        </w:rPr>
      </w:r>
    </w:p>
    <w:p>
      <w:pPr>
        <w:pStyle w:val="Caption"/>
        <w:keepNext w:val="true"/>
        <w:spacing w:before="0" w:after="120"/>
        <w:jc w:val="center"/>
        <w:rPr>
          <w:color w:val="auto"/>
          <w:sz w:val="28"/>
          <w:szCs w:val="28"/>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1</w:t>
      </w:r>
      <w:r>
        <w:rPr>
          <w:sz w:val="28"/>
          <w:szCs w:val="28"/>
        </w:rPr>
        <w:fldChar w:fldCharType="end"/>
      </w:r>
      <w:r>
        <w:rPr>
          <w:color w:val="auto"/>
          <w:sz w:val="28"/>
          <w:szCs w:val="28"/>
        </w:rPr>
        <w:t xml:space="preserve"> - </w:t>
      </w:r>
      <w:r>
        <w:rPr>
          <w:rFonts w:cs="Times New Roman"/>
          <w:color w:val="auto"/>
          <w:sz w:val="28"/>
          <w:szCs w:val="28"/>
        </w:rPr>
        <w:t>Динамика изменения объёмов производства сельскохозяйственной продукции в Тереньгульском районе</w:t>
        <w:br/>
        <w:t>за 2009-2017 гг. (в хозяйствах всех категорий)</w:t>
      </w:r>
    </w:p>
    <w:tbl>
      <w:tblPr>
        <w:tblW w:w="5000" w:type="pct"/>
        <w:jc w:val="left"/>
        <w:tblInd w:w="0" w:type="dxa"/>
        <w:tblCellMar>
          <w:top w:w="0" w:type="dxa"/>
          <w:left w:w="108" w:type="dxa"/>
          <w:bottom w:w="0" w:type="dxa"/>
          <w:right w:w="108" w:type="dxa"/>
        </w:tblCellMar>
        <w:tblLook w:noVBand="1" w:val="04a0" w:noHBand="0" w:lastColumn="0" w:firstColumn="1" w:lastRow="0" w:firstRow="1"/>
      </w:tblPr>
      <w:tblGrid>
        <w:gridCol w:w="2710"/>
        <w:gridCol w:w="743"/>
        <w:gridCol w:w="744"/>
        <w:gridCol w:w="744"/>
        <w:gridCol w:w="743"/>
        <w:gridCol w:w="744"/>
        <w:gridCol w:w="744"/>
        <w:gridCol w:w="744"/>
        <w:gridCol w:w="863"/>
        <w:gridCol w:w="858"/>
      </w:tblGrid>
      <w:tr>
        <w:trPr>
          <w:tblHeader w:val="true"/>
          <w:trHeight w:val="472" w:hRule="atLeast"/>
        </w:trPr>
        <w:tc>
          <w:tcPr>
            <w:tcW w:w="2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Показатели</w:t>
            </w:r>
          </w:p>
        </w:tc>
        <w:tc>
          <w:tcPr>
            <w:tcW w:w="7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2009</w:t>
            </w:r>
          </w:p>
        </w:tc>
        <w:tc>
          <w:tcPr>
            <w:tcW w:w="7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2010</w:t>
            </w:r>
          </w:p>
        </w:tc>
        <w:tc>
          <w:tcPr>
            <w:tcW w:w="7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2011</w:t>
            </w:r>
          </w:p>
        </w:tc>
        <w:tc>
          <w:tcPr>
            <w:tcW w:w="7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2012</w:t>
            </w:r>
          </w:p>
        </w:tc>
        <w:tc>
          <w:tcPr>
            <w:tcW w:w="7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2013</w:t>
            </w:r>
          </w:p>
        </w:tc>
        <w:tc>
          <w:tcPr>
            <w:tcW w:w="7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2014</w:t>
            </w:r>
          </w:p>
        </w:tc>
        <w:tc>
          <w:tcPr>
            <w:tcW w:w="7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2015</w:t>
            </w:r>
          </w:p>
        </w:tc>
        <w:tc>
          <w:tcPr>
            <w:tcW w:w="8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2016</w:t>
            </w:r>
          </w:p>
        </w:tc>
        <w:tc>
          <w:tcPr>
            <w:tcW w:w="8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2017</w:t>
            </w:r>
          </w:p>
        </w:tc>
      </w:tr>
      <w:tr>
        <w:trPr/>
        <w:tc>
          <w:tcPr>
            <w:tcW w:w="2710"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rPr>
            </w:pPr>
            <w:r>
              <w:rPr>
                <w:rFonts w:ascii="Times New Roman" w:hAnsi="Times New Roman"/>
              </w:rPr>
              <w:t>Продукция сельского хозяйства, млн. руб.</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449,1</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341,7</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621,5</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433,1</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671,8</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665,9</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925,4</w:t>
            </w:r>
          </w:p>
        </w:tc>
        <w:tc>
          <w:tcPr>
            <w:tcW w:w="86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1044,9</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1103,5</w:t>
            </w:r>
          </w:p>
        </w:tc>
      </w:tr>
      <w:tr>
        <w:trPr/>
        <w:tc>
          <w:tcPr>
            <w:tcW w:w="2710"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rPr>
            </w:pPr>
            <w:r>
              <w:rPr>
                <w:rFonts w:ascii="Times New Roman" w:hAnsi="Times New Roman"/>
              </w:rPr>
              <w:t>Производство зерна, тыс. тонн</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38,5</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10,3</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42,2</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17,6</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34,4</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36,8</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21,6</w:t>
            </w:r>
          </w:p>
        </w:tc>
        <w:tc>
          <w:tcPr>
            <w:tcW w:w="86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19,3</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29,2</w:t>
            </w:r>
          </w:p>
        </w:tc>
      </w:tr>
      <w:tr>
        <w:trPr/>
        <w:tc>
          <w:tcPr>
            <w:tcW w:w="2710"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rPr>
            </w:pPr>
            <w:r>
              <w:rPr>
                <w:rFonts w:ascii="Times New Roman" w:hAnsi="Times New Roman"/>
              </w:rPr>
              <w:t>Производство мяса (скот и птица на убой в живом весе), тыс. тонн</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1,1</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1,0</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1,1</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1,0</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1,2</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1,0</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3,1</w:t>
            </w:r>
          </w:p>
        </w:tc>
        <w:tc>
          <w:tcPr>
            <w:tcW w:w="86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4,6</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4,9</w:t>
            </w:r>
          </w:p>
        </w:tc>
      </w:tr>
      <w:tr>
        <w:trPr/>
        <w:tc>
          <w:tcPr>
            <w:tcW w:w="2710"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rPr>
            </w:pPr>
            <w:r>
              <w:rPr>
                <w:rFonts w:ascii="Times New Roman" w:hAnsi="Times New Roman"/>
              </w:rPr>
              <w:t>Производство молока, тыс. тонн</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7,3</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6,7</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6,8</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6,8</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6,9</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5,6</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4,9</w:t>
            </w:r>
          </w:p>
        </w:tc>
        <w:tc>
          <w:tcPr>
            <w:tcW w:w="86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highlight w:val="yellow"/>
              </w:rPr>
            </w:pPr>
            <w:r>
              <w:rPr>
                <w:rFonts w:ascii="Times New Roman" w:hAnsi="Times New Roman"/>
              </w:rPr>
              <w:t>5,3</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5,3</w:t>
            </w:r>
          </w:p>
        </w:tc>
      </w:tr>
      <w:tr>
        <w:trPr/>
        <w:tc>
          <w:tcPr>
            <w:tcW w:w="2710"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rPr>
            </w:pPr>
            <w:r>
              <w:rPr>
                <w:rFonts w:ascii="Times New Roman" w:hAnsi="Times New Roman"/>
              </w:rPr>
              <w:t>Производство яиц, тыс. штук</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5923</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5294</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4647</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4526</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4655</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3864</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3888</w:t>
            </w:r>
          </w:p>
        </w:tc>
        <w:tc>
          <w:tcPr>
            <w:tcW w:w="863"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highlight w:val="yellow"/>
              </w:rPr>
            </w:pPr>
            <w:r>
              <w:rPr>
                <w:rFonts w:ascii="Times New Roman" w:hAnsi="Times New Roman"/>
              </w:rPr>
              <w:t>4263</w:t>
            </w:r>
          </w:p>
        </w:tc>
        <w:tc>
          <w:tcPr>
            <w:tcW w:w="8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3565</w:t>
            </w:r>
          </w:p>
        </w:tc>
      </w:tr>
    </w:tbl>
    <w:p>
      <w:pPr>
        <w:pStyle w:val="Normal"/>
        <w:ind w:firstLine="708"/>
        <w:jc w:val="both"/>
        <w:rPr>
          <w:rFonts w:cs="Times New Roman"/>
          <w:sz w:val="28"/>
          <w:szCs w:val="28"/>
        </w:rPr>
      </w:pPr>
      <w:r>
        <w:rPr>
          <w:rFonts w:cs="Times New Roman"/>
          <w:sz w:val="28"/>
          <w:szCs w:val="28"/>
        </w:rPr>
      </w:r>
    </w:p>
    <w:p>
      <w:pPr>
        <w:pStyle w:val="Normal"/>
        <w:ind w:firstLine="708"/>
        <w:jc w:val="both"/>
        <w:rPr>
          <w:rFonts w:cs="Times New Roman"/>
          <w:sz w:val="28"/>
          <w:szCs w:val="28"/>
        </w:rPr>
      </w:pPr>
      <w:r>
        <w:rPr>
          <w:rFonts w:cs="Times New Roman"/>
          <w:sz w:val="28"/>
          <w:szCs w:val="28"/>
        </w:rPr>
        <w:t>В 2017 г. на долю сельскохозяйственных организаций приходилось 55,7%, на долю хозяйств населения – 36,8%, на долю КФХ и ИП – 7,5% от общего объёма производства продукции сельского хозяйства. По сравнению с предыдущим периодом увеличилась доля сельскохозяйственных организаций (2016 г. – 50,0%) и доля КФХ и ИП (2016 г. – 7,2%), соответственно доля домашних хозяйств в общем объёме производства сельскохозяйственной продукции уменьшилась (2016 г. – 42,8%).</w:t>
      </w:r>
    </w:p>
    <w:p>
      <w:pPr>
        <w:pStyle w:val="Normal"/>
        <w:keepNext w:val="true"/>
        <w:ind w:hanging="142"/>
        <w:jc w:val="both"/>
        <w:rPr/>
      </w:pPr>
      <w:r>
        <w:rPr/>
        <w:drawing>
          <wp:inline distT="0" distB="0" distL="0" distR="0">
            <wp:extent cx="6281420" cy="3863975"/>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Caption"/>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4</w:t>
      </w:r>
      <w:r>
        <w:rPr>
          <w:sz w:val="28"/>
          <w:szCs w:val="28"/>
        </w:rPr>
        <w:fldChar w:fldCharType="end"/>
      </w:r>
      <w:r>
        <w:rPr>
          <w:rFonts w:cs="Times New Roman"/>
          <w:color w:val="auto"/>
          <w:sz w:val="28"/>
          <w:szCs w:val="28"/>
        </w:rPr>
        <w:t xml:space="preserve"> - Динамика объёмов производства сельскохозяйственной продукции в Тереньгульском районе за 2009-2017 гг., тыс. руб.</w:t>
      </w:r>
    </w:p>
    <w:p>
      <w:pPr>
        <w:pStyle w:val="Caption"/>
        <w:keepNext w:val="true"/>
        <w:spacing w:before="0" w:after="120"/>
        <w:jc w:val="center"/>
        <w:rPr>
          <w:color w:val="auto"/>
          <w:sz w:val="28"/>
          <w:szCs w:val="28"/>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2</w:t>
      </w:r>
      <w:r>
        <w:rPr>
          <w:sz w:val="28"/>
          <w:szCs w:val="28"/>
        </w:rPr>
        <w:fldChar w:fldCharType="end"/>
      </w:r>
      <w:r>
        <w:rPr>
          <w:color w:val="auto"/>
          <w:sz w:val="28"/>
          <w:szCs w:val="28"/>
        </w:rPr>
        <w:t xml:space="preserve"> - </w:t>
      </w:r>
      <w:r>
        <w:rPr>
          <w:rFonts w:cs="Times New Roman"/>
          <w:color w:val="auto"/>
          <w:sz w:val="28"/>
          <w:szCs w:val="28"/>
        </w:rPr>
        <w:t>Динамика индексов изменения объёмов производства сельскохозяйственной продукции в Тереньгульском районе</w:t>
        <w:br/>
        <w:t>за 2009-2017 гг. (в хозяйствах всех категорий),</w:t>
      </w:r>
      <w:r>
        <w:rPr>
          <w:color w:val="auto"/>
          <w:sz w:val="28"/>
          <w:szCs w:val="28"/>
        </w:rPr>
        <w:t xml:space="preserve"> % </w:t>
      </w:r>
    </w:p>
    <w:tbl>
      <w:tblPr>
        <w:tblW w:w="5000" w:type="pct"/>
        <w:jc w:val="left"/>
        <w:tblInd w:w="0" w:type="dxa"/>
        <w:tblCellMar>
          <w:top w:w="0" w:type="dxa"/>
          <w:left w:w="108" w:type="dxa"/>
          <w:bottom w:w="0" w:type="dxa"/>
          <w:right w:w="108" w:type="dxa"/>
        </w:tblCellMar>
        <w:tblLook w:noVBand="1" w:val="04a0" w:noHBand="0" w:lastColumn="0" w:firstColumn="1" w:lastRow="0" w:firstRow="1"/>
      </w:tblPr>
      <w:tblGrid>
        <w:gridCol w:w="2876"/>
        <w:gridCol w:w="757"/>
        <w:gridCol w:w="757"/>
        <w:gridCol w:w="757"/>
        <w:gridCol w:w="702"/>
        <w:gridCol w:w="757"/>
        <w:gridCol w:w="758"/>
        <w:gridCol w:w="757"/>
        <w:gridCol w:w="758"/>
        <w:gridCol w:w="758"/>
      </w:tblGrid>
      <w:tr>
        <w:trPr>
          <w:trHeight w:val="374" w:hRule="atLeast"/>
        </w:trPr>
        <w:tc>
          <w:tcPr>
            <w:tcW w:w="28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Наименование показателя</w:t>
            </w:r>
          </w:p>
        </w:tc>
        <w:tc>
          <w:tcPr>
            <w:tcW w:w="7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2009</w:t>
            </w:r>
          </w:p>
        </w:tc>
        <w:tc>
          <w:tcPr>
            <w:tcW w:w="7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2010</w:t>
            </w:r>
          </w:p>
        </w:tc>
        <w:tc>
          <w:tcPr>
            <w:tcW w:w="7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2011</w:t>
            </w:r>
          </w:p>
        </w:tc>
        <w:tc>
          <w:tcPr>
            <w:tcW w:w="7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2012</w:t>
            </w:r>
          </w:p>
        </w:tc>
        <w:tc>
          <w:tcPr>
            <w:tcW w:w="7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2013</w:t>
            </w:r>
          </w:p>
        </w:tc>
        <w:tc>
          <w:tcPr>
            <w:tcW w:w="7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2014</w:t>
            </w:r>
          </w:p>
        </w:tc>
        <w:tc>
          <w:tcPr>
            <w:tcW w:w="7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2015</w:t>
            </w:r>
          </w:p>
        </w:tc>
        <w:tc>
          <w:tcPr>
            <w:tcW w:w="7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2016</w:t>
            </w:r>
          </w:p>
        </w:tc>
        <w:tc>
          <w:tcPr>
            <w:tcW w:w="7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2017</w:t>
            </w:r>
          </w:p>
        </w:tc>
      </w:tr>
      <w:tr>
        <w:trPr/>
        <w:tc>
          <w:tcPr>
            <w:tcW w:w="2876"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Cs w:val="20"/>
              </w:rPr>
            </w:pPr>
            <w:r>
              <w:rPr>
                <w:rFonts w:ascii="Times New Roman" w:hAnsi="Times New Roman"/>
                <w:szCs w:val="20"/>
              </w:rPr>
              <w:t xml:space="preserve">Индекс производства продукции сельского хозяйства </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120,9</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57,3</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176,2</w:t>
            </w:r>
          </w:p>
        </w:tc>
        <w:tc>
          <w:tcPr>
            <w:tcW w:w="70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69,8</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130,0</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99,7</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125,8</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111,1</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116,4</w:t>
            </w:r>
          </w:p>
        </w:tc>
      </w:tr>
      <w:tr>
        <w:trPr/>
        <w:tc>
          <w:tcPr>
            <w:tcW w:w="2876"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Cs w:val="20"/>
              </w:rPr>
            </w:pPr>
            <w:r>
              <w:rPr>
                <w:rFonts w:ascii="Times New Roman" w:hAnsi="Times New Roman"/>
                <w:szCs w:val="20"/>
              </w:rPr>
              <w:t xml:space="preserve">Индекс производства продукции растениеводства </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140,1</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30,8</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309,9</w:t>
            </w:r>
          </w:p>
        </w:tc>
        <w:tc>
          <w:tcPr>
            <w:tcW w:w="70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53,5</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158,3</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102,9</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75,0</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98,3</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139,8</w:t>
            </w:r>
          </w:p>
        </w:tc>
      </w:tr>
      <w:tr>
        <w:trPr/>
        <w:tc>
          <w:tcPr>
            <w:tcW w:w="2876"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Cs w:val="20"/>
              </w:rPr>
            </w:pPr>
            <w:r>
              <w:rPr>
                <w:rFonts w:ascii="Times New Roman" w:hAnsi="Times New Roman"/>
                <w:szCs w:val="20"/>
              </w:rPr>
              <w:t xml:space="preserve">Индекс производства продукции животноводства </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98,1</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102,1</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99,6</w:t>
            </w:r>
          </w:p>
        </w:tc>
        <w:tc>
          <w:tcPr>
            <w:tcW w:w="702"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99,4</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104,5</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94,5</w:t>
            </w:r>
          </w:p>
        </w:tc>
        <w:tc>
          <w:tcPr>
            <w:tcW w:w="75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211,1</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120,9</w:t>
            </w:r>
          </w:p>
        </w:tc>
        <w:tc>
          <w:tcPr>
            <w:tcW w:w="758"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104,7</w:t>
            </w:r>
          </w:p>
        </w:tc>
      </w:tr>
    </w:tbl>
    <w:p>
      <w:pPr>
        <w:pStyle w:val="Normal"/>
        <w:ind w:firstLine="708"/>
        <w:jc w:val="both"/>
        <w:rPr>
          <w:rFonts w:cs="Times New Roman"/>
          <w:sz w:val="28"/>
          <w:szCs w:val="28"/>
        </w:rPr>
      </w:pPr>
      <w:r>
        <w:rPr>
          <w:rFonts w:cs="Times New Roman"/>
          <w:sz w:val="28"/>
          <w:szCs w:val="28"/>
        </w:rPr>
      </w:r>
    </w:p>
    <w:p>
      <w:pPr>
        <w:pStyle w:val="Normal"/>
        <w:ind w:firstLine="708"/>
        <w:jc w:val="both"/>
        <w:rPr>
          <w:rFonts w:cs="Times New Roman"/>
          <w:sz w:val="28"/>
          <w:szCs w:val="28"/>
        </w:rPr>
      </w:pPr>
      <w:r>
        <w:rPr>
          <w:rFonts w:cs="Times New Roman"/>
          <w:sz w:val="28"/>
          <w:szCs w:val="28"/>
        </w:rPr>
        <w:t>Индекс производства продукции сельского хозяйства всех сельхозпроизводителей по итогам 2017 г. – 116,4%. При этом индекс производства продукции растениеводства – 139,8%, индекс производства продукции животноводства – 104,7%.</w:t>
      </w:r>
    </w:p>
    <w:p>
      <w:pPr>
        <w:pStyle w:val="Normal"/>
        <w:keepNext w:val="true"/>
        <w:jc w:val="both"/>
        <w:rPr/>
      </w:pPr>
      <w:r>
        <w:rPr/>
        <w:drawing>
          <wp:inline distT="0" distB="0" distL="0" distR="0">
            <wp:extent cx="6042025" cy="296164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Caption"/>
        <w:spacing w:before="120" w:after="120"/>
        <w:jc w:val="center"/>
        <w:rPr>
          <w:rFonts w:cs="Times New Roman"/>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5</w:t>
      </w:r>
      <w:r>
        <w:rPr>
          <w:sz w:val="28"/>
          <w:szCs w:val="28"/>
        </w:rPr>
        <w:fldChar w:fldCharType="end"/>
      </w:r>
      <w:r>
        <w:rPr>
          <w:color w:val="auto"/>
          <w:sz w:val="28"/>
          <w:szCs w:val="28"/>
        </w:rPr>
        <w:t xml:space="preserve"> - </w:t>
      </w:r>
      <w:r>
        <w:rPr>
          <w:rFonts w:cs="Times New Roman"/>
          <w:color w:val="auto"/>
          <w:sz w:val="28"/>
          <w:szCs w:val="28"/>
        </w:rPr>
        <w:t>Динамика индексов производства продукции сельского хозяйства, растениеводства и животноводства за 2009-2017 гг., %</w:t>
      </w:r>
    </w:p>
    <w:p>
      <w:pPr>
        <w:pStyle w:val="Normal"/>
        <w:rPr/>
      </w:pPr>
      <w:r>
        <w:rPr/>
      </w:r>
    </w:p>
    <w:p>
      <w:pPr>
        <w:pStyle w:val="Normal"/>
        <w:spacing w:before="0" w:after="0"/>
        <w:ind w:firstLine="709"/>
        <w:contextualSpacing/>
        <w:jc w:val="both"/>
        <w:rPr>
          <w:rFonts w:cs="Times New Roman"/>
          <w:sz w:val="28"/>
          <w:szCs w:val="28"/>
          <w:lang w:eastAsia="zh-CN"/>
        </w:rPr>
      </w:pPr>
      <w:r>
        <w:rPr>
          <w:rFonts w:cs="Times New Roman"/>
          <w:sz w:val="28"/>
          <w:szCs w:val="28"/>
          <w:lang w:eastAsia="zh-CN"/>
        </w:rPr>
        <w:t>Начиная с 2014 г. объёмы производства продукции сельского хозяйства на территории района выровнялись, и наметилась устойчивая тенденция роста. Немаловажным фактором при этом является поддержка со стороны Правительства Ульяновской области и федеральных органов власти. Например, в 2018 г. на развитие сельского хозяйства Тереньгульского района получено 13 872 тыс. руб.</w:t>
      </w:r>
    </w:p>
    <w:p>
      <w:pPr>
        <w:pStyle w:val="Normal"/>
        <w:spacing w:before="0" w:after="0"/>
        <w:ind w:firstLine="709"/>
        <w:contextualSpacing/>
        <w:jc w:val="both"/>
        <w:rPr>
          <w:rFonts w:cs="Times New Roman"/>
          <w:sz w:val="28"/>
          <w:szCs w:val="28"/>
          <w:lang w:eastAsia="zh-CN"/>
        </w:rPr>
      </w:pPr>
      <w:r>
        <w:rPr>
          <w:rFonts w:cs="Times New Roman"/>
          <w:sz w:val="28"/>
          <w:szCs w:val="28"/>
          <w:lang w:eastAsia="zh-CN"/>
        </w:rPr>
      </w:r>
    </w:p>
    <w:p>
      <w:pPr>
        <w:pStyle w:val="Normal"/>
        <w:ind w:firstLine="708"/>
        <w:rPr>
          <w:rFonts w:cs="Times New Roman"/>
          <w:b/>
          <w:b/>
          <w:sz w:val="28"/>
          <w:szCs w:val="28"/>
        </w:rPr>
      </w:pPr>
      <w:r>
        <w:rPr>
          <w:rFonts w:cs="Times New Roman"/>
          <w:b/>
          <w:sz w:val="28"/>
          <w:szCs w:val="28"/>
        </w:rPr>
        <w:t>Преимущества развития отрасли</w:t>
      </w:r>
    </w:p>
    <w:p>
      <w:pPr>
        <w:pStyle w:val="Normal"/>
        <w:ind w:firstLine="709"/>
        <w:jc w:val="both"/>
        <w:rPr>
          <w:rFonts w:eastAsia="TimesNewRomanPSMT"/>
          <w:sz w:val="28"/>
          <w:szCs w:val="28"/>
        </w:rPr>
      </w:pPr>
      <w:r>
        <w:rPr>
          <w:sz w:val="28"/>
          <w:szCs w:val="28"/>
        </w:rPr>
        <w:t>Территория Тереньгульского района в настоящее время представляет собой большей частью земли сельскохозяйственного назначения. В южной части района располагаются плодородные земли.</w:t>
      </w:r>
      <w:r>
        <w:rPr>
          <w:rFonts w:eastAsia="TimesNewRomanPSMT"/>
          <w:sz w:val="28"/>
          <w:szCs w:val="28"/>
        </w:rPr>
        <w:t xml:space="preserve"> </w:t>
      </w:r>
      <w:r>
        <w:rPr>
          <w:rFonts w:eastAsia="TimesNewRomanPSMT"/>
          <w:b/>
          <w:sz w:val="28"/>
          <w:szCs w:val="28"/>
        </w:rPr>
        <w:t>Земельные и почвенные ресурсы могут обеспечить достаточный объём производства сельскохозяйственной продукции для дальнейшего развития в Тереньгульском районе предприятий пищевой и перерабатывающей промышленности</w:t>
      </w:r>
      <w:r>
        <w:rPr>
          <w:rFonts w:eastAsia="TimesNewRomanPSMT"/>
          <w:sz w:val="28"/>
          <w:szCs w:val="28"/>
        </w:rPr>
        <w:t>.</w:t>
      </w:r>
    </w:p>
    <w:p>
      <w:pPr>
        <w:pStyle w:val="Normal"/>
        <w:ind w:firstLine="709"/>
        <w:jc w:val="both"/>
        <w:rPr>
          <w:sz w:val="28"/>
          <w:szCs w:val="28"/>
        </w:rPr>
      </w:pPr>
      <w:r>
        <w:rPr>
          <w:b/>
          <w:sz w:val="28"/>
          <w:szCs w:val="28"/>
        </w:rPr>
        <w:t>Удачное географическое расположение с развитой цепью транспортных артерий и соседство с таким экономически сильным регионом, как Самарская область, позволяет рассчитывать на привлекательность района с точки зрения инвестиций</w:t>
      </w:r>
      <w:r>
        <w:rPr>
          <w:sz w:val="28"/>
          <w:szCs w:val="28"/>
        </w:rPr>
        <w:t>.</w:t>
      </w:r>
    </w:p>
    <w:p>
      <w:pPr>
        <w:pStyle w:val="Normal"/>
        <w:ind w:firstLine="709"/>
        <w:jc w:val="both"/>
        <w:rPr>
          <w:rFonts w:eastAsia="Calibri"/>
          <w:sz w:val="28"/>
          <w:szCs w:val="28"/>
        </w:rPr>
      </w:pPr>
      <w:r>
        <w:rPr>
          <w:rFonts w:eastAsia="Calibri"/>
          <w:sz w:val="28"/>
          <w:szCs w:val="28"/>
        </w:rPr>
        <w:t>В настоящее время на территории района ведут и развивают свою деятельность следующие предприятия, созданные в рамках реализации инвестиционных проектов.</w:t>
      </w:r>
    </w:p>
    <w:p>
      <w:pPr>
        <w:pStyle w:val="Normal"/>
        <w:ind w:firstLine="709"/>
        <w:jc w:val="both"/>
        <w:rPr>
          <w:rFonts w:eastAsia="Calibri"/>
          <w:sz w:val="28"/>
          <w:szCs w:val="28"/>
        </w:rPr>
      </w:pPr>
      <w:r>
        <w:rPr>
          <w:sz w:val="28"/>
          <w:szCs w:val="28"/>
        </w:rPr>
        <w:t>ООО «РОС-Бекон» в с. Красноборск – завершено строительство свинофермы на 1 260 продуктивных свиноматок с замкнутым циклом производства, строительство комбикормового цеха 5 тонн/ч; убойного цеха 20 голов/час; до 2020 г. планируется строительство товарного репродуктора на 2 400 свиноматок с откормом и убойным цехом 40 голов/час.</w:t>
      </w:r>
    </w:p>
    <w:p>
      <w:pPr>
        <w:pStyle w:val="Normal"/>
        <w:ind w:firstLine="709"/>
        <w:jc w:val="both"/>
        <w:rPr>
          <w:rFonts w:eastAsia="Calibri"/>
          <w:sz w:val="28"/>
          <w:szCs w:val="28"/>
        </w:rPr>
      </w:pPr>
      <w:r>
        <w:rPr>
          <w:rFonts w:eastAsia="Calibri"/>
          <w:sz w:val="28"/>
          <w:szCs w:val="28"/>
        </w:rPr>
        <w:t xml:space="preserve">ООО «Сосновская бурёнушка» </w:t>
      </w:r>
      <w:r>
        <w:rPr>
          <w:sz w:val="28"/>
          <w:szCs w:val="28"/>
        </w:rPr>
        <w:t>–</w:t>
      </w:r>
      <w:r>
        <w:rPr>
          <w:rFonts w:eastAsia="Calibri"/>
          <w:sz w:val="28"/>
          <w:szCs w:val="28"/>
        </w:rPr>
        <w:t xml:space="preserve"> на сегодняшний день поголовье КРС насчитывает 496 голов. На базе данного предприятия открыт сельскохозяйственный потребительский смешанный (комплексный) кооператив «Тереньгульский комбинат фермерских экопродуктов «Красная звезда», основным видом деятельности кооператива является предоставление услуг в области животноводства. В настоящее время членами кооператива являются 8 хозяйств.</w:t>
      </w:r>
    </w:p>
    <w:p>
      <w:pPr>
        <w:pStyle w:val="Normal"/>
        <w:ind w:firstLine="709"/>
        <w:jc w:val="both"/>
        <w:rPr/>
      </w:pPr>
      <w:r>
        <w:rPr>
          <w:rFonts w:eastAsia="Calibri"/>
          <w:sz w:val="28"/>
          <w:szCs w:val="28"/>
        </w:rPr>
        <w:t>В стадии реализации находится большой инвестиционный проект строительства фермы по разведению КРС мясного направления (ООО «Ульяновск – Ангус»). Общий объём инвестиций составляет 140,0 млн. руб. В 2018 г. инвестор арендовал 8 500 га земли сельскохозяйственного назначения, летом 2019 г. планируется завезти 104 головы молодняка (нетели) для дальнейшего разведения. До 2023 г. планируется увеличение поголовья до 2 000 голов.</w:t>
      </w:r>
    </w:p>
    <w:p>
      <w:pPr>
        <w:pStyle w:val="Normal"/>
        <w:ind w:firstLine="709"/>
        <w:jc w:val="both"/>
        <w:rPr>
          <w:rFonts w:eastAsia="Calibri"/>
          <w:sz w:val="28"/>
          <w:szCs w:val="28"/>
        </w:rPr>
      </w:pPr>
      <w:r>
        <w:rPr>
          <w:rFonts w:eastAsia="Calibri"/>
          <w:sz w:val="28"/>
          <w:szCs w:val="28"/>
        </w:rPr>
        <w:t>Реализация инвестиционных проектов выполняет стратегическую задачу по импортозамещению, а также несёт социальную миссию – появление новых рабочих мест с достойной заработной платой.</w:t>
      </w:r>
    </w:p>
    <w:p>
      <w:pPr>
        <w:pStyle w:val="Normal"/>
        <w:ind w:firstLine="709"/>
        <w:jc w:val="both"/>
        <w:rPr>
          <w:rFonts w:eastAsia="Calibri"/>
          <w:sz w:val="28"/>
          <w:szCs w:val="28"/>
        </w:rPr>
      </w:pPr>
      <w:r>
        <w:rPr>
          <w:rFonts w:eastAsia="Calibri"/>
          <w:sz w:val="28"/>
          <w:szCs w:val="28"/>
        </w:rPr>
      </w:r>
    </w:p>
    <w:p>
      <w:pPr>
        <w:pStyle w:val="Normal"/>
        <w:shd w:val="clear" w:color="auto" w:fill="FFFFFF"/>
        <w:suppressAutoHyphens w:val="false"/>
        <w:ind w:firstLine="709"/>
        <w:rPr>
          <w:rFonts w:cs="Times New Roman"/>
          <w:b/>
          <w:b/>
          <w:sz w:val="28"/>
          <w:szCs w:val="28"/>
          <w:lang w:eastAsia="ru-RU"/>
        </w:rPr>
      </w:pPr>
      <w:r>
        <w:rPr>
          <w:rFonts w:cs="Times New Roman"/>
          <w:b/>
          <w:sz w:val="28"/>
          <w:szCs w:val="28"/>
          <w:lang w:eastAsia="ru-RU"/>
        </w:rPr>
        <w:t>Основными проблемами развития отрасли являются:</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недостаточный уровень развития рыночной инфраструктуры и системы сбыта сельскохозяйственной продукции;</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ограниченные возможности и сложность доступа сельскохозяйственных товаропроизводителей к рынкам финансовых, материально-технических и информационных ресурсов;</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финансовая неустойчивость отрасли, обусловленная нестабильностью рынков сельскохозяйственной продукции;</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дефицит квалифицированных кадров, вызванный непрестижностью сельскохозяйственного труда в селе, а также более низким, чем в городе, уровнем и качеством жизни в сельской местности;</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низкие темпы технической и технологической модернизации отрасли, обновления основных производственных фондов и воспроизводства ресурсного потенциала;</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снижение плодородия почв и выбытие из оборота земель сельскохозяйственного назначения.</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r>
    </w:p>
    <w:p>
      <w:pPr>
        <w:pStyle w:val="Normal"/>
        <w:rPr/>
      </w:pPr>
      <w:bookmarkStart w:id="8" w:name="_Toc2237189"/>
      <w:bookmarkStart w:id="9" w:name="_Toc4404988"/>
      <w:r>
        <w:rPr/>
        <w:t>1.3. Инвестиции и институты развития</w:t>
      </w:r>
      <w:bookmarkEnd w:id="8"/>
      <w:bookmarkEnd w:id="9"/>
    </w:p>
    <w:p>
      <w:pPr>
        <w:pStyle w:val="Normal"/>
        <w:ind w:firstLine="709"/>
        <w:jc w:val="both"/>
        <w:rPr>
          <w:rFonts w:cs="Times New Roman"/>
          <w:sz w:val="28"/>
          <w:szCs w:val="28"/>
        </w:rPr>
      </w:pPr>
      <w:r>
        <w:rPr>
          <w:rFonts w:cs="Times New Roman"/>
          <w:sz w:val="28"/>
          <w:szCs w:val="28"/>
        </w:rPr>
        <w:t xml:space="preserve">Общий объём инвестиций в основной капитал по крупным и средним предприятиям Тереньгульского района за период 2008-2017 гг. достиг суммы 1 351,2 млн. руб. При этом динамика инвестирования в основной капитал не имеет чётко выраженной тенденции. В частности, кризисные явления в экономике страны обусловили резкое снижение темпов инвестирования: в 2009 г. – до 2/3 от объёмов 2008 г., в 2014 г. </w:t>
      </w:r>
      <w:r>
        <w:rPr>
          <w:rFonts w:eastAsia="Symbol" w:cs="Symbol" w:ascii="Symbol" w:hAnsi="Symbol"/>
          <w:sz w:val="28"/>
          <w:szCs w:val="28"/>
        </w:rPr>
        <w:t></w:t>
      </w:r>
      <w:r>
        <w:rPr>
          <w:rFonts w:cs="Times New Roman"/>
          <w:sz w:val="28"/>
          <w:szCs w:val="28"/>
        </w:rPr>
        <w:t xml:space="preserve"> до 1/3 от объёмов предыдущего года. В 2017 г. в Тереньгульском районе остановлен спад инвестиций в основной капитал, наблюдавшийся в 2015-2016 гг., а индекс физического объёма инвестиций зафиксирован на уровне 146,8%.</w:t>
      </w:r>
    </w:p>
    <w:p>
      <w:pPr>
        <w:pStyle w:val="Normal"/>
        <w:ind w:firstLine="709"/>
        <w:jc w:val="both"/>
        <w:rPr>
          <w:rFonts w:cs="Times New Roman"/>
          <w:sz w:val="28"/>
          <w:szCs w:val="28"/>
        </w:rPr>
      </w:pPr>
      <w:r>
        <w:rPr>
          <w:rFonts w:cs="Times New Roman"/>
          <w:sz w:val="28"/>
          <w:szCs w:val="28"/>
        </w:rPr>
        <w:t xml:space="preserve">В 2017 г. объём инвестиций в основной капитал в расчёте на душу населения оставил 8,8 тыс. руб. против 5,7 тыс. руб. в 2008 г. (рост в 1,5 раза). </w:t>
      </w:r>
      <w:r>
        <w:rPr>
          <w:rFonts w:cs="Times New Roman"/>
          <w:sz w:val="28"/>
        </w:rPr>
        <w:t xml:space="preserve">Наибольший объём инвестиций на 1 жителя Тереньгульского района зафиксирован в 2013 г. в размере 19,3 тыс. руб., при этом порядка 17,6 тыс. руб. </w:t>
      </w:r>
      <w:r>
        <w:rPr>
          <w:rFonts w:eastAsia="Symbol" w:cs="Symbol" w:ascii="Symbol" w:hAnsi="Symbol"/>
          <w:sz w:val="28"/>
        </w:rPr>
        <w:t></w:t>
      </w:r>
      <w:r>
        <w:rPr>
          <w:rFonts w:cs="Times New Roman"/>
          <w:sz w:val="28"/>
        </w:rPr>
        <w:t xml:space="preserve"> это инвестиции за исключением бюджетных средств.</w:t>
      </w:r>
      <w:r>
        <w:rPr>
          <w:rFonts w:cs="Times New Roman"/>
          <w:sz w:val="28"/>
          <w:szCs w:val="28"/>
        </w:rPr>
        <w:t xml:space="preserve"> Динамика инвестиций в основной капитал по крупным и средним предприятиям за рассматриваемый десятилетний период представлена на рисунке 6. </w:t>
      </w:r>
    </w:p>
    <w:p>
      <w:pPr>
        <w:pStyle w:val="Normal"/>
        <w:jc w:val="both"/>
        <w:rPr>
          <w:rFonts w:cs="Times New Roman"/>
          <w:sz w:val="36"/>
          <w:szCs w:val="28"/>
        </w:rPr>
      </w:pPr>
      <w:r>
        <w:rPr/>
        <w:drawing>
          <wp:inline distT="0" distB="0" distL="0" distR="0">
            <wp:extent cx="5939790" cy="3204210"/>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jc w:val="center"/>
        <w:rPr>
          <w:rFonts w:cs="Times New Roman"/>
          <w:b/>
          <w:b/>
          <w:sz w:val="28"/>
          <w:szCs w:val="28"/>
        </w:rPr>
      </w:pPr>
      <w:r>
        <w:rPr>
          <w:b/>
          <w:sz w:val="28"/>
          <w:szCs w:val="28"/>
        </w:rPr>
        <w:t xml:space="preserve">Рисунок </w:t>
      </w:r>
      <w:r>
        <w:rPr>
          <w:b/>
          <w:sz w:val="28"/>
          <w:szCs w:val="28"/>
        </w:rPr>
        <w:fldChar w:fldCharType="begin"/>
      </w:r>
      <w:r>
        <w:rPr>
          <w:sz w:val="28"/>
          <w:b/>
          <w:szCs w:val="28"/>
        </w:rPr>
        <w:instrText> SEQ Рисунок \* ARABIC </w:instrText>
      </w:r>
      <w:r>
        <w:rPr>
          <w:sz w:val="28"/>
          <w:b/>
          <w:szCs w:val="28"/>
        </w:rPr>
        <w:fldChar w:fldCharType="separate"/>
      </w:r>
      <w:r>
        <w:rPr>
          <w:sz w:val="28"/>
          <w:b/>
          <w:szCs w:val="28"/>
        </w:rPr>
        <w:t>6</w:t>
      </w:r>
      <w:r>
        <w:rPr>
          <w:sz w:val="28"/>
          <w:b/>
          <w:szCs w:val="28"/>
        </w:rPr>
        <w:fldChar w:fldCharType="end"/>
      </w:r>
      <w:r>
        <w:rPr>
          <w:b/>
          <w:sz w:val="28"/>
          <w:szCs w:val="28"/>
        </w:rPr>
        <w:t xml:space="preserve"> - </w:t>
      </w:r>
      <w:r>
        <w:rPr>
          <w:rFonts w:cs="Times New Roman"/>
          <w:b/>
          <w:sz w:val="28"/>
          <w:szCs w:val="28"/>
        </w:rPr>
        <w:t xml:space="preserve">Динамика инвестиций в основной капитал </w:t>
        <w:br/>
        <w:t>в Тереньгульском районе за 2008-2017 гг.</w:t>
      </w:r>
    </w:p>
    <w:p>
      <w:pPr>
        <w:pStyle w:val="Normal"/>
        <w:jc w:val="center"/>
        <w:rPr>
          <w:rFonts w:cs="Times New Roman"/>
          <w:b/>
          <w:b/>
          <w:sz w:val="28"/>
          <w:szCs w:val="28"/>
        </w:rPr>
      </w:pPr>
      <w:r>
        <w:rPr>
          <w:rFonts w:cs="Times New Roman"/>
          <w:b/>
          <w:sz w:val="28"/>
          <w:szCs w:val="28"/>
        </w:rPr>
      </w:r>
    </w:p>
    <w:p>
      <w:pPr>
        <w:pStyle w:val="Normal"/>
        <w:spacing w:before="0" w:after="120"/>
        <w:ind w:firstLine="709"/>
        <w:jc w:val="both"/>
        <w:rPr>
          <w:rFonts w:cs="Times New Roman"/>
          <w:b/>
          <w:b/>
          <w:sz w:val="28"/>
          <w:szCs w:val="28"/>
        </w:rPr>
      </w:pPr>
      <w:r>
        <w:rPr>
          <w:rFonts w:cs="Times New Roman"/>
          <w:sz w:val="28"/>
        </w:rPr>
        <w:t xml:space="preserve">За период 2008-2017 гг. структура источников финансирования инвестиций по крупным и средним предприятиям претерпела значительные изменения (рисунок 7). Преобладающим источником инвестиций в 2008 г. являлись привлеченные внебюджетные средства – 47% от общего объёма инвестиций. В 2012 г. 36,2% инвестиций финансировались из средств федерального и областного бюджетов. Более половины всех бюджетных средств </w:t>
      </w:r>
      <w:r>
        <w:rPr>
          <w:rFonts w:eastAsia="Symbol" w:cs="Symbol" w:ascii="Symbol" w:hAnsi="Symbol"/>
          <w:sz w:val="28"/>
        </w:rPr>
        <w:t></w:t>
      </w:r>
      <w:r>
        <w:rPr>
          <w:rFonts w:cs="Times New Roman"/>
          <w:sz w:val="28"/>
        </w:rPr>
        <w:t xml:space="preserve"> средства федерального бюджета. Собственные средства организаций преобладали в структуре инвестиций Тереньгульского района в 2017 г.</w:t>
      </w:r>
    </w:p>
    <w:tbl>
      <w:tblPr>
        <w:tblStyle w:val="af1"/>
        <w:tblW w:w="9854" w:type="dxa"/>
        <w:jc w:val="left"/>
        <w:tblInd w:w="0" w:type="dxa"/>
        <w:tblCellMar>
          <w:top w:w="0" w:type="dxa"/>
          <w:left w:w="108" w:type="dxa"/>
          <w:bottom w:w="0" w:type="dxa"/>
          <w:right w:w="108" w:type="dxa"/>
        </w:tblCellMar>
        <w:tblLook w:noVBand="1" w:val="04a0" w:noHBand="0" w:lastColumn="0" w:firstColumn="1" w:lastRow="0" w:firstRow="1"/>
      </w:tblPr>
      <w:tblGrid>
        <w:gridCol w:w="2591"/>
        <w:gridCol w:w="3016"/>
        <w:gridCol w:w="4247"/>
      </w:tblGrid>
      <w:tr>
        <w:trPr/>
        <w:tc>
          <w:tcPr>
            <w:tcW w:w="2591" w:type="dxa"/>
            <w:tcBorders>
              <w:top w:val="nil"/>
              <w:left w:val="nil"/>
              <w:bottom w:val="nil"/>
              <w:right w:val="nil"/>
            </w:tcBorders>
            <w:shd w:fill="auto" w:val="clear"/>
          </w:tcPr>
          <w:p>
            <w:pPr>
              <w:pStyle w:val="Normal"/>
              <w:spacing w:lineRule="auto" w:line="240" w:before="0" w:after="0"/>
              <w:jc w:val="both"/>
              <w:rPr>
                <w:rFonts w:cs="Times New Roman"/>
                <w:sz w:val="28"/>
              </w:rPr>
            </w:pPr>
            <w:r>
              <w:rPr>
                <w:rFonts w:cs="Times New Roman"/>
                <w:sz w:val="28"/>
              </w:rPr>
              <w:t xml:space="preserve">          </w:t>
            </w:r>
            <w:r>
              <w:rPr>
                <w:rFonts w:cs="Times New Roman"/>
                <w:sz w:val="28"/>
              </w:rPr>
              <w:t>2008 г.</w:t>
            </w:r>
          </w:p>
        </w:tc>
        <w:tc>
          <w:tcPr>
            <w:tcW w:w="3016" w:type="dxa"/>
            <w:tcBorders>
              <w:top w:val="nil"/>
              <w:left w:val="nil"/>
              <w:bottom w:val="nil"/>
              <w:right w:val="nil"/>
            </w:tcBorders>
            <w:shd w:fill="auto" w:val="clear"/>
          </w:tcPr>
          <w:p>
            <w:pPr>
              <w:pStyle w:val="Normal"/>
              <w:spacing w:lineRule="auto" w:line="240" w:before="0" w:after="0"/>
              <w:jc w:val="both"/>
              <w:rPr>
                <w:rFonts w:cs="Times New Roman"/>
                <w:sz w:val="28"/>
              </w:rPr>
            </w:pPr>
            <w:r>
              <w:rPr>
                <w:rFonts w:cs="Times New Roman"/>
                <w:sz w:val="28"/>
              </w:rPr>
              <w:t xml:space="preserve">            </w:t>
            </w:r>
            <w:r>
              <w:rPr>
                <w:rFonts w:cs="Times New Roman"/>
                <w:sz w:val="28"/>
              </w:rPr>
              <w:t>2012 г.</w:t>
            </w:r>
          </w:p>
        </w:tc>
        <w:tc>
          <w:tcPr>
            <w:tcW w:w="4247" w:type="dxa"/>
            <w:tcBorders>
              <w:top w:val="nil"/>
              <w:left w:val="nil"/>
              <w:bottom w:val="nil"/>
              <w:right w:val="nil"/>
            </w:tcBorders>
            <w:shd w:fill="auto" w:val="clear"/>
          </w:tcPr>
          <w:p>
            <w:pPr>
              <w:pStyle w:val="Normal"/>
              <w:spacing w:lineRule="auto" w:line="240" w:before="0" w:after="0"/>
              <w:jc w:val="both"/>
              <w:rPr>
                <w:rFonts w:cs="Times New Roman"/>
                <w:sz w:val="28"/>
              </w:rPr>
            </w:pPr>
            <w:r>
              <w:rPr>
                <w:rFonts w:cs="Times New Roman"/>
                <w:sz w:val="28"/>
              </w:rPr>
              <w:t xml:space="preserve">         </w:t>
            </w:r>
            <w:r>
              <w:rPr>
                <w:rFonts w:cs="Times New Roman"/>
                <w:sz w:val="28"/>
              </w:rPr>
              <w:t>2017 г.</w:t>
            </w:r>
          </w:p>
        </w:tc>
      </w:tr>
      <w:tr>
        <w:trPr/>
        <w:tc>
          <w:tcPr>
            <w:tcW w:w="2591" w:type="dxa"/>
            <w:tcBorders>
              <w:top w:val="nil"/>
              <w:left w:val="nil"/>
              <w:bottom w:val="nil"/>
              <w:right w:val="nil"/>
            </w:tcBorders>
            <w:shd w:fill="auto" w:val="clear"/>
          </w:tcPr>
          <w:p>
            <w:pPr>
              <w:pStyle w:val="Normal"/>
              <w:keepNext w:val="true"/>
              <w:spacing w:lineRule="auto" w:line="240" w:before="0" w:after="0"/>
              <w:jc w:val="both"/>
              <w:rPr/>
            </w:pPr>
            <w:r>
              <w:rPr/>
              <w:drawing>
                <wp:inline distT="0" distB="0" distL="0" distR="0">
                  <wp:extent cx="1552575" cy="1295400"/>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Normal"/>
              <w:spacing w:lineRule="auto" w:line="240" w:before="0" w:after="120"/>
              <w:jc w:val="center"/>
              <w:rPr>
                <w:lang w:eastAsia="ru-RU"/>
              </w:rPr>
            </w:pPr>
            <w:r>
              <w:rPr>
                <w:lang w:eastAsia="ru-RU"/>
              </w:rPr>
            </w:r>
          </w:p>
        </w:tc>
        <w:tc>
          <w:tcPr>
            <w:tcW w:w="3016" w:type="dxa"/>
            <w:tcBorders>
              <w:top w:val="nil"/>
              <w:left w:val="nil"/>
              <w:bottom w:val="nil"/>
              <w:right w:val="nil"/>
            </w:tcBorders>
            <w:shd w:fill="auto" w:val="clear"/>
          </w:tcPr>
          <w:p>
            <w:pPr>
              <w:pStyle w:val="Normal"/>
              <w:spacing w:lineRule="auto" w:line="240" w:before="0" w:after="0"/>
              <w:jc w:val="both"/>
              <w:rPr>
                <w:lang w:eastAsia="ru-RU"/>
              </w:rPr>
            </w:pPr>
            <w:r>
              <w:rPr/>
              <w:drawing>
                <wp:inline distT="0" distB="0" distL="0" distR="0">
                  <wp:extent cx="1828800" cy="1295400"/>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247" w:type="dxa"/>
            <w:tcBorders>
              <w:top w:val="nil"/>
              <w:left w:val="nil"/>
              <w:bottom w:val="nil"/>
              <w:right w:val="nil"/>
            </w:tcBorders>
            <w:shd w:fill="auto" w:val="clear"/>
          </w:tcPr>
          <w:p>
            <w:pPr>
              <w:pStyle w:val="Normal"/>
              <w:spacing w:lineRule="auto" w:line="240" w:before="0" w:after="0"/>
              <w:jc w:val="both"/>
              <w:rPr>
                <w:lang w:eastAsia="ru-RU"/>
              </w:rPr>
            </w:pPr>
            <w:r>
              <w:rPr/>
              <w:drawing>
                <wp:inline distT="0" distB="0" distL="0" distR="0">
                  <wp:extent cx="2632075" cy="1439545"/>
                  <wp:effectExtent l="0" t="0" r="0" b="0"/>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pPr>
        <w:pStyle w:val="Normal"/>
        <w:jc w:val="center"/>
        <w:rPr>
          <w:rFonts w:cs="Times New Roman"/>
          <w:b/>
          <w:b/>
          <w:sz w:val="28"/>
          <w:szCs w:val="28"/>
        </w:rPr>
      </w:pPr>
      <w:r>
        <w:rPr>
          <w:b/>
          <w:sz w:val="28"/>
          <w:szCs w:val="28"/>
        </w:rPr>
        <w:t xml:space="preserve">Рисунок </w:t>
      </w:r>
      <w:r>
        <w:rPr>
          <w:b/>
          <w:sz w:val="28"/>
          <w:szCs w:val="28"/>
        </w:rPr>
        <w:fldChar w:fldCharType="begin"/>
      </w:r>
      <w:r>
        <w:rPr>
          <w:sz w:val="28"/>
          <w:b/>
          <w:szCs w:val="28"/>
        </w:rPr>
        <w:instrText> SEQ Рисунок \* ARABIC </w:instrText>
      </w:r>
      <w:r>
        <w:rPr>
          <w:sz w:val="28"/>
          <w:b/>
          <w:szCs w:val="28"/>
        </w:rPr>
        <w:fldChar w:fldCharType="separate"/>
      </w:r>
      <w:r>
        <w:rPr>
          <w:sz w:val="28"/>
          <w:b/>
          <w:szCs w:val="28"/>
        </w:rPr>
        <w:t>7</w:t>
      </w:r>
      <w:r>
        <w:rPr>
          <w:sz w:val="28"/>
          <w:b/>
          <w:szCs w:val="28"/>
        </w:rPr>
        <w:fldChar w:fldCharType="end"/>
      </w:r>
      <w:r>
        <w:rPr>
          <w:b/>
          <w:sz w:val="28"/>
          <w:szCs w:val="28"/>
        </w:rPr>
        <w:t xml:space="preserve"> - </w:t>
      </w:r>
      <w:r>
        <w:rPr>
          <w:rFonts w:cs="Times New Roman"/>
          <w:b/>
          <w:sz w:val="28"/>
          <w:szCs w:val="28"/>
        </w:rPr>
        <w:t xml:space="preserve">Структура источников финансирования инвестиций </w:t>
      </w:r>
    </w:p>
    <w:p>
      <w:pPr>
        <w:pStyle w:val="Normal"/>
        <w:jc w:val="center"/>
        <w:rPr>
          <w:rFonts w:cs="Times New Roman"/>
          <w:b/>
          <w:b/>
          <w:sz w:val="28"/>
          <w:szCs w:val="28"/>
        </w:rPr>
      </w:pPr>
      <w:r>
        <w:rPr>
          <w:rFonts w:cs="Times New Roman"/>
          <w:b/>
          <w:sz w:val="28"/>
          <w:szCs w:val="28"/>
        </w:rPr>
        <w:t>в Тереньгульском районе за 2008, 2012 и 2017 гг.</w:t>
      </w:r>
    </w:p>
    <w:p>
      <w:pPr>
        <w:pStyle w:val="Normal"/>
        <w:ind w:firstLine="709"/>
        <w:jc w:val="both"/>
        <w:rPr>
          <w:rFonts w:cs="Times New Roman"/>
          <w:sz w:val="28"/>
          <w:highlight w:val="white"/>
        </w:rPr>
      </w:pPr>
      <w:r>
        <w:rPr>
          <w:rFonts w:cs="Times New Roman"/>
          <w:sz w:val="28"/>
          <w:highlight w:val="white"/>
        </w:rPr>
      </w:r>
    </w:p>
    <w:p>
      <w:pPr>
        <w:pStyle w:val="Normal"/>
        <w:ind w:firstLine="709"/>
        <w:jc w:val="both"/>
        <w:rPr>
          <w:rFonts w:cs="Times New Roman"/>
          <w:sz w:val="28"/>
        </w:rPr>
      </w:pPr>
      <w:r>
        <w:rPr>
          <w:rFonts w:cs="Times New Roman"/>
          <w:sz w:val="28"/>
          <w:shd w:fill="FFFFFF" w:val="clear"/>
        </w:rPr>
        <w:t xml:space="preserve">В структуре инвестиций в основной капитал по крупным и средним предприятиям Тереньгульского района наибольшая доля приходится на здания (нежилые) и сооружения, за 10 лет она возросла с 52,3% до 85,0%. 13% инвестиций в 2017 г. направлены на машины, оборудование, транспортные средства и инвентарь (30,6%), в 2008 г. они были на уровне 46,2%. Наименьшая доля инвестиций, 1,7%, приходится на прочие инвестиции, которые включают в себя инвестиции в объекты интеллектуальной собственности, затраты </w:t>
      </w:r>
      <w:r>
        <w:rPr>
          <w:rFonts w:cs="Times New Roman"/>
          <w:sz w:val="28"/>
        </w:rPr>
        <w:t>на научные исследования и разработки, расходы на разведку недр и оценку запасов полезных ископаемых и т.д. Инвестиции на строительство жилых зданий, т.е. зданий, предназначенных для невременного проживания людей, направлялись лишь в 2010 и 2011 гг., их доля составила 2,5% и 10,7% соответственно.</w:t>
      </w:r>
    </w:p>
    <w:p>
      <w:pPr>
        <w:pStyle w:val="Normal"/>
        <w:spacing w:before="120" w:after="120"/>
        <w:jc w:val="center"/>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3</w:t>
      </w:r>
      <w:r>
        <w:rPr>
          <w:sz w:val="28"/>
          <w:b/>
          <w:szCs w:val="28"/>
        </w:rPr>
        <w:fldChar w:fldCharType="end"/>
      </w:r>
      <w:r>
        <w:rPr>
          <w:b/>
          <w:sz w:val="28"/>
          <w:szCs w:val="28"/>
        </w:rPr>
        <w:t xml:space="preserve"> - </w:t>
      </w:r>
      <w:r>
        <w:rPr>
          <w:rFonts w:cs="Times New Roman"/>
          <w:b/>
          <w:sz w:val="28"/>
          <w:szCs w:val="28"/>
        </w:rPr>
        <w:t xml:space="preserve">Структура инвестиций в основной капитал </w:t>
        <w:br/>
        <w:t>в Тереньгульском районе за 2008-2017 гг., %</w:t>
      </w:r>
    </w:p>
    <w:tbl>
      <w:tblPr>
        <w:tblW w:w="5000" w:type="pct"/>
        <w:jc w:val="left"/>
        <w:tblInd w:w="0" w:type="dxa"/>
        <w:tblCellMar>
          <w:top w:w="0" w:type="dxa"/>
          <w:left w:w="103" w:type="dxa"/>
          <w:bottom w:w="0" w:type="dxa"/>
          <w:right w:w="108" w:type="dxa"/>
        </w:tblCellMar>
        <w:tblLook w:noVBand="1" w:val="04a0" w:noHBand="0" w:lastColumn="0" w:firstColumn="1" w:lastRow="0" w:firstRow="1"/>
      </w:tblPr>
      <w:tblGrid>
        <w:gridCol w:w="2603"/>
        <w:gridCol w:w="831"/>
        <w:gridCol w:w="693"/>
        <w:gridCol w:w="693"/>
        <w:gridCol w:w="694"/>
        <w:gridCol w:w="693"/>
        <w:gridCol w:w="693"/>
        <w:gridCol w:w="695"/>
        <w:gridCol w:w="694"/>
        <w:gridCol w:w="694"/>
        <w:gridCol w:w="653"/>
      </w:tblGrid>
      <w:tr>
        <w:trPr>
          <w:trHeight w:val="300" w:hRule="atLeast"/>
        </w:trPr>
        <w:tc>
          <w:tcPr>
            <w:tcW w:w="26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Наименование показателя</w:t>
            </w:r>
          </w:p>
        </w:tc>
        <w:tc>
          <w:tcPr>
            <w:tcW w:w="8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2008</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2009</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2010</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2011</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2012</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2013</w:t>
            </w:r>
          </w:p>
        </w:tc>
        <w:tc>
          <w:tcPr>
            <w:tcW w:w="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2014</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2015</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2016</w:t>
            </w:r>
          </w:p>
        </w:tc>
        <w:tc>
          <w:tcPr>
            <w:tcW w:w="6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2017</w:t>
            </w:r>
          </w:p>
        </w:tc>
      </w:tr>
      <w:tr>
        <w:trPr>
          <w:trHeight w:val="300" w:hRule="atLeast"/>
        </w:trPr>
        <w:tc>
          <w:tcPr>
            <w:tcW w:w="260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2"/>
                <w:szCs w:val="22"/>
                <w:lang w:eastAsia="ru-RU"/>
              </w:rPr>
            </w:pPr>
            <w:r>
              <w:rPr>
                <w:rFonts w:cs="Times New Roman"/>
                <w:sz w:val="22"/>
                <w:szCs w:val="22"/>
                <w:lang w:eastAsia="ru-RU"/>
              </w:rPr>
              <w:t>Жилища</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2,5</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10,7</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r>
      <w:tr>
        <w:trPr>
          <w:trHeight w:val="300" w:hRule="atLeast"/>
        </w:trPr>
        <w:tc>
          <w:tcPr>
            <w:tcW w:w="260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2"/>
                <w:szCs w:val="22"/>
                <w:lang w:eastAsia="ru-RU"/>
              </w:rPr>
            </w:pPr>
            <w:r>
              <w:rPr>
                <w:rFonts w:cs="Times New Roman"/>
                <w:sz w:val="22"/>
                <w:szCs w:val="22"/>
                <w:lang w:eastAsia="ru-RU"/>
              </w:rPr>
              <w:t>Здания (кроме жилых) и сооружения</w:t>
            </w:r>
          </w:p>
        </w:tc>
        <w:tc>
          <w:tcPr>
            <w:tcW w:w="8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52,3</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54,8</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34,3</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64,7</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38,1</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45,9</w:t>
            </w:r>
          </w:p>
        </w:tc>
        <w:tc>
          <w:tcPr>
            <w:tcW w:w="6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63</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35</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82,9</w:t>
            </w:r>
          </w:p>
        </w:tc>
        <w:tc>
          <w:tcPr>
            <w:tcW w:w="65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85</w:t>
            </w:r>
          </w:p>
        </w:tc>
      </w:tr>
      <w:tr>
        <w:trPr>
          <w:trHeight w:val="300" w:hRule="atLeast"/>
        </w:trPr>
        <w:tc>
          <w:tcPr>
            <w:tcW w:w="260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2"/>
                <w:szCs w:val="22"/>
                <w:lang w:eastAsia="ru-RU"/>
              </w:rPr>
            </w:pPr>
            <w:r>
              <w:rPr>
                <w:rFonts w:cs="Times New Roman"/>
                <w:sz w:val="22"/>
                <w:szCs w:val="22"/>
                <w:lang w:eastAsia="ru-RU"/>
              </w:rPr>
              <w:t>Машины, оборудование, транс-портные средства, инвентарь</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46,2</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43,3</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63,2</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23,9</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58</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53,6</w:t>
            </w:r>
          </w:p>
        </w:tc>
        <w:tc>
          <w:tcPr>
            <w:tcW w:w="69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36,2</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63</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15,3</w:t>
            </w:r>
          </w:p>
        </w:tc>
        <w:tc>
          <w:tcPr>
            <w:tcW w:w="6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13,3</w:t>
            </w:r>
          </w:p>
        </w:tc>
      </w:tr>
      <w:tr>
        <w:trPr>
          <w:trHeight w:val="300" w:hRule="atLeast"/>
        </w:trPr>
        <w:tc>
          <w:tcPr>
            <w:tcW w:w="260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22"/>
                <w:szCs w:val="22"/>
                <w:lang w:eastAsia="ru-RU"/>
              </w:rPr>
            </w:pPr>
            <w:r>
              <w:rPr>
                <w:rFonts w:cs="Times New Roman"/>
                <w:sz w:val="22"/>
                <w:szCs w:val="22"/>
                <w:lang w:eastAsia="ru-RU"/>
              </w:rPr>
              <w:t>Прочие</w:t>
            </w:r>
          </w:p>
        </w:tc>
        <w:tc>
          <w:tcPr>
            <w:tcW w:w="8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1,5</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1,9</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0,7</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3,9</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0,5</w:t>
            </w:r>
          </w:p>
        </w:tc>
        <w:tc>
          <w:tcPr>
            <w:tcW w:w="69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0,7</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2</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1,8</w:t>
            </w:r>
          </w:p>
        </w:tc>
        <w:tc>
          <w:tcPr>
            <w:tcW w:w="65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1,7</w:t>
            </w:r>
          </w:p>
        </w:tc>
      </w:tr>
    </w:tbl>
    <w:p>
      <w:pPr>
        <w:pStyle w:val="Normal"/>
        <w:ind w:firstLine="709"/>
        <w:jc w:val="both"/>
        <w:rPr>
          <w:rFonts w:cs="Times New Roman"/>
          <w:sz w:val="28"/>
          <w:szCs w:val="28"/>
          <w:lang w:val="en-US"/>
        </w:rPr>
      </w:pPr>
      <w:r>
        <w:rPr>
          <w:rFonts w:cs="Times New Roman"/>
          <w:sz w:val="28"/>
          <w:szCs w:val="28"/>
          <w:lang w:val="en-US"/>
        </w:rPr>
      </w:r>
    </w:p>
    <w:p>
      <w:pPr>
        <w:pStyle w:val="Normal"/>
        <w:ind w:firstLine="709"/>
        <w:jc w:val="both"/>
        <w:rPr>
          <w:rFonts w:cs="Times New Roman"/>
          <w:sz w:val="28"/>
          <w:lang w:val="en-US"/>
        </w:rPr>
      </w:pPr>
      <w:r>
        <w:rPr>
          <w:rFonts w:cs="Times New Roman"/>
          <w:sz w:val="28"/>
          <w:szCs w:val="28"/>
        </w:rPr>
        <w:t>Ст</w:t>
      </w:r>
      <w:r>
        <w:rPr>
          <w:rFonts w:cs="Times New Roman"/>
          <w:sz w:val="28"/>
        </w:rPr>
        <w:t xml:space="preserve">руктура инвестиций представлена организациями российской формы собственности, преимущественно частной. Из 153,9 млн. руб., освоенных ими в 2017 г., 135,0 млн. руб. или 88% </w:t>
      </w:r>
      <w:r>
        <w:rPr>
          <w:rFonts w:eastAsia="Symbol" w:cs="Symbol" w:ascii="Symbol" w:hAnsi="Symbol"/>
          <w:sz w:val="28"/>
        </w:rPr>
        <w:t></w:t>
      </w:r>
      <w:r>
        <w:rPr>
          <w:rFonts w:cs="Times New Roman"/>
          <w:sz w:val="28"/>
        </w:rPr>
        <w:t xml:space="preserve"> частными предприятиями. На долю организаций государственной и муниципальной собственности по итогам 2017 г. приходилось соответственно 3% и 9% инвестиций. При этом в 2012 г. 55% капиталовложений осуществлялось организациями муниципальной собственности, в 2009 г. 73,3% инвестиций были представлены организациями муниципальной собственности.</w:t>
      </w:r>
    </w:p>
    <w:p>
      <w:pPr>
        <w:pStyle w:val="Normal"/>
        <w:spacing w:before="120" w:after="120"/>
        <w:jc w:val="center"/>
        <w:rPr>
          <w:rFonts w:cs="Times New Roman"/>
          <w:b/>
          <w:b/>
          <w:sz w:val="28"/>
          <w:szCs w:val="28"/>
        </w:rPr>
      </w:pPr>
      <w:r>
        <w:rPr>
          <w:rFonts w:cs="Times New Roman"/>
          <w:b/>
          <w:sz w:val="28"/>
          <w:szCs w:val="28"/>
        </w:rPr>
        <w:t>Таблица 2. Распределение инвестиций в основной капитал по отдельным формам собственности в Тереньгульском районе за 2008-2017 гг.,</w:t>
      </w:r>
      <w:r>
        <w:rPr>
          <w:rFonts w:cs="Times New Roman"/>
          <w:b/>
          <w:sz w:val="28"/>
          <w:szCs w:val="28"/>
          <w:lang w:eastAsia="ru-RU"/>
        </w:rPr>
        <w:t xml:space="preserve"> млн. руб.</w:t>
      </w:r>
    </w:p>
    <w:tbl>
      <w:tblPr>
        <w:tblW w:w="5000" w:type="pct"/>
        <w:jc w:val="left"/>
        <w:tblInd w:w="0" w:type="dxa"/>
        <w:tblCellMar>
          <w:top w:w="0" w:type="dxa"/>
          <w:left w:w="103" w:type="dxa"/>
          <w:bottom w:w="0" w:type="dxa"/>
          <w:right w:w="108" w:type="dxa"/>
        </w:tblCellMar>
        <w:tblLook w:noVBand="1" w:val="04a0" w:noHBand="0" w:lastColumn="0" w:firstColumn="1" w:lastRow="0" w:firstRow="1"/>
      </w:tblPr>
      <w:tblGrid>
        <w:gridCol w:w="2354"/>
        <w:gridCol w:w="731"/>
        <w:gridCol w:w="727"/>
        <w:gridCol w:w="730"/>
        <w:gridCol w:w="727"/>
        <w:gridCol w:w="730"/>
        <w:gridCol w:w="729"/>
        <w:gridCol w:w="728"/>
        <w:gridCol w:w="729"/>
        <w:gridCol w:w="731"/>
        <w:gridCol w:w="720"/>
      </w:tblGrid>
      <w:tr>
        <w:trPr>
          <w:trHeight w:val="300" w:hRule="atLeast"/>
        </w:trPr>
        <w:tc>
          <w:tcPr>
            <w:tcW w:w="23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Наименование</w:t>
            </w:r>
          </w:p>
          <w:p>
            <w:pPr>
              <w:pStyle w:val="Normal"/>
              <w:spacing w:lineRule="auto" w:line="228"/>
              <w:jc w:val="center"/>
              <w:rPr>
                <w:rFonts w:cs="Times New Roman"/>
                <w:b/>
                <w:b/>
                <w:sz w:val="22"/>
                <w:szCs w:val="22"/>
                <w:lang w:eastAsia="ru-RU"/>
              </w:rPr>
            </w:pPr>
            <w:r>
              <w:rPr>
                <w:rFonts w:cs="Times New Roman"/>
                <w:b/>
                <w:sz w:val="22"/>
                <w:szCs w:val="22"/>
                <w:lang w:eastAsia="ru-RU"/>
              </w:rPr>
              <w:t>показателя</w:t>
            </w:r>
          </w:p>
        </w:tc>
        <w:tc>
          <w:tcPr>
            <w:tcW w:w="7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2008</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2009</w:t>
            </w:r>
          </w:p>
        </w:tc>
        <w:tc>
          <w:tcPr>
            <w:tcW w:w="7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2010</w:t>
            </w:r>
          </w:p>
        </w:tc>
        <w:tc>
          <w:tcPr>
            <w:tcW w:w="7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2011</w:t>
            </w:r>
          </w:p>
        </w:tc>
        <w:tc>
          <w:tcPr>
            <w:tcW w:w="7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2012</w:t>
            </w:r>
          </w:p>
        </w:tc>
        <w:tc>
          <w:tcPr>
            <w:tcW w:w="7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2013</w:t>
            </w:r>
          </w:p>
        </w:tc>
        <w:tc>
          <w:tcPr>
            <w:tcW w:w="7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2014</w:t>
            </w:r>
          </w:p>
        </w:tc>
        <w:tc>
          <w:tcPr>
            <w:tcW w:w="7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2015</w:t>
            </w:r>
          </w:p>
        </w:tc>
        <w:tc>
          <w:tcPr>
            <w:tcW w:w="7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2016</w:t>
            </w:r>
          </w:p>
        </w:tc>
        <w:tc>
          <w:tcPr>
            <w:tcW w:w="7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2017</w:t>
            </w:r>
          </w:p>
        </w:tc>
      </w:tr>
      <w:tr>
        <w:trPr>
          <w:trHeight w:val="300" w:hRule="atLeast"/>
        </w:trPr>
        <w:tc>
          <w:tcPr>
            <w:tcW w:w="235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both"/>
              <w:rPr>
                <w:rFonts w:cs="Times New Roman"/>
                <w:sz w:val="22"/>
                <w:szCs w:val="22"/>
              </w:rPr>
            </w:pPr>
            <w:r>
              <w:rPr>
                <w:rFonts w:cs="Times New Roman"/>
                <w:sz w:val="22"/>
                <w:szCs w:val="22"/>
              </w:rPr>
              <w:t>Государственной собственности</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2,5</w:t>
            </w:r>
          </w:p>
        </w:tc>
        <w:tc>
          <w:tcPr>
            <w:tcW w:w="7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10,7</w:t>
            </w:r>
          </w:p>
        </w:tc>
        <w:tc>
          <w:tcPr>
            <w:tcW w:w="7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r>
      <w:tr>
        <w:trPr>
          <w:trHeight w:val="300" w:hRule="atLeast"/>
        </w:trPr>
        <w:tc>
          <w:tcPr>
            <w:tcW w:w="235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both"/>
              <w:rPr>
                <w:rFonts w:cs="Times New Roman"/>
                <w:sz w:val="22"/>
                <w:szCs w:val="22"/>
              </w:rPr>
            </w:pPr>
            <w:r>
              <w:rPr>
                <w:rFonts w:cs="Times New Roman"/>
                <w:sz w:val="22"/>
                <w:szCs w:val="22"/>
              </w:rPr>
              <w:t>Муниципальной собственности</w:t>
            </w:r>
          </w:p>
        </w:tc>
        <w:tc>
          <w:tcPr>
            <w:tcW w:w="7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52,3</w:t>
            </w:r>
          </w:p>
        </w:tc>
        <w:tc>
          <w:tcPr>
            <w:tcW w:w="72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54,8</w:t>
            </w:r>
          </w:p>
        </w:tc>
        <w:tc>
          <w:tcPr>
            <w:tcW w:w="7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34,3</w:t>
            </w:r>
          </w:p>
        </w:tc>
        <w:tc>
          <w:tcPr>
            <w:tcW w:w="72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64,7</w:t>
            </w:r>
          </w:p>
        </w:tc>
        <w:tc>
          <w:tcPr>
            <w:tcW w:w="73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38,1</w:t>
            </w:r>
          </w:p>
        </w:tc>
        <w:tc>
          <w:tcPr>
            <w:tcW w:w="72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45,9</w:t>
            </w:r>
          </w:p>
        </w:tc>
        <w:tc>
          <w:tcPr>
            <w:tcW w:w="72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63</w:t>
            </w:r>
          </w:p>
        </w:tc>
        <w:tc>
          <w:tcPr>
            <w:tcW w:w="72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35</w:t>
            </w:r>
          </w:p>
        </w:tc>
        <w:tc>
          <w:tcPr>
            <w:tcW w:w="73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82,9</w:t>
            </w:r>
          </w:p>
        </w:tc>
        <w:tc>
          <w:tcPr>
            <w:tcW w:w="72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85</w:t>
            </w:r>
          </w:p>
        </w:tc>
      </w:tr>
      <w:tr>
        <w:trPr>
          <w:trHeight w:val="300" w:hRule="atLeast"/>
        </w:trPr>
        <w:tc>
          <w:tcPr>
            <w:tcW w:w="235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both"/>
              <w:rPr>
                <w:rFonts w:cs="Times New Roman"/>
                <w:sz w:val="22"/>
                <w:szCs w:val="22"/>
              </w:rPr>
            </w:pPr>
            <w:r>
              <w:rPr>
                <w:rFonts w:cs="Times New Roman"/>
                <w:sz w:val="22"/>
                <w:szCs w:val="22"/>
              </w:rPr>
              <w:t>Частной собственности</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46,2</w:t>
            </w:r>
          </w:p>
        </w:tc>
        <w:tc>
          <w:tcPr>
            <w:tcW w:w="7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43,3</w:t>
            </w:r>
          </w:p>
        </w:tc>
        <w:tc>
          <w:tcPr>
            <w:tcW w:w="7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63,2</w:t>
            </w:r>
          </w:p>
        </w:tc>
        <w:tc>
          <w:tcPr>
            <w:tcW w:w="7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23,9</w:t>
            </w:r>
          </w:p>
        </w:tc>
        <w:tc>
          <w:tcPr>
            <w:tcW w:w="7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58</w:t>
            </w:r>
          </w:p>
        </w:tc>
        <w:tc>
          <w:tcPr>
            <w:tcW w:w="7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53,6</w:t>
            </w:r>
          </w:p>
        </w:tc>
        <w:tc>
          <w:tcPr>
            <w:tcW w:w="7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36,2</w:t>
            </w:r>
          </w:p>
        </w:tc>
        <w:tc>
          <w:tcPr>
            <w:tcW w:w="7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63</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15,3</w:t>
            </w:r>
          </w:p>
        </w:tc>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13,3</w:t>
            </w:r>
          </w:p>
        </w:tc>
      </w:tr>
      <w:tr>
        <w:trPr>
          <w:trHeight w:val="300" w:hRule="atLeast"/>
        </w:trPr>
        <w:tc>
          <w:tcPr>
            <w:tcW w:w="235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both"/>
              <w:rPr>
                <w:rFonts w:cs="Times New Roman"/>
                <w:sz w:val="22"/>
                <w:szCs w:val="22"/>
              </w:rPr>
            </w:pPr>
            <w:r>
              <w:rPr>
                <w:rFonts w:cs="Times New Roman"/>
                <w:sz w:val="22"/>
                <w:szCs w:val="22"/>
              </w:rPr>
              <w:t>Смешанной российской собственности</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1,5</w:t>
            </w:r>
          </w:p>
        </w:tc>
        <w:tc>
          <w:tcPr>
            <w:tcW w:w="7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1,9</w:t>
            </w:r>
          </w:p>
        </w:tc>
        <w:tc>
          <w:tcPr>
            <w:tcW w:w="7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0,7</w:t>
            </w:r>
          </w:p>
        </w:tc>
        <w:tc>
          <w:tcPr>
            <w:tcW w:w="73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3,9</w:t>
            </w:r>
          </w:p>
        </w:tc>
        <w:tc>
          <w:tcPr>
            <w:tcW w:w="7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0,5</w:t>
            </w:r>
          </w:p>
        </w:tc>
        <w:tc>
          <w:tcPr>
            <w:tcW w:w="7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0,7</w:t>
            </w:r>
          </w:p>
        </w:tc>
        <w:tc>
          <w:tcPr>
            <w:tcW w:w="7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2</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1,8</w:t>
            </w:r>
          </w:p>
        </w:tc>
        <w:tc>
          <w:tcPr>
            <w:tcW w:w="7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1,7</w:t>
            </w:r>
          </w:p>
        </w:tc>
      </w:tr>
    </w:tbl>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b/>
          <w:sz w:val="28"/>
          <w:szCs w:val="28"/>
        </w:rPr>
        <w:t>За 10 лет малыми предприятиями на территории Тереньгульского района реализовано 4 инвестиционных проекта на общую сумму 1 787,5 млн. руб.</w:t>
      </w:r>
      <w:r>
        <w:rPr>
          <w:rFonts w:cs="Times New Roman"/>
          <w:sz w:val="28"/>
          <w:szCs w:val="28"/>
        </w:rPr>
        <w:t>:</w:t>
      </w:r>
    </w:p>
    <w:p>
      <w:pPr>
        <w:pStyle w:val="Normal"/>
        <w:ind w:firstLine="709"/>
        <w:jc w:val="both"/>
        <w:rPr>
          <w:rFonts w:cs="Times New Roman"/>
          <w:sz w:val="28"/>
          <w:szCs w:val="28"/>
        </w:rPr>
      </w:pPr>
      <w:r>
        <w:rPr>
          <w:rFonts w:cs="Times New Roman"/>
          <w:sz w:val="28"/>
          <w:szCs w:val="28"/>
        </w:rPr>
        <w:t xml:space="preserve">- производство по розливу бутилированной воды ООО «Вода Кристальная» </w:t>
      </w:r>
      <w:r>
        <w:rPr>
          <w:rFonts w:eastAsia="Symbol" w:cs="Symbol" w:ascii="Symbol" w:hAnsi="Symbol"/>
          <w:sz w:val="28"/>
          <w:szCs w:val="28"/>
        </w:rPr>
        <w:t></w:t>
      </w:r>
      <w:r>
        <w:rPr>
          <w:rFonts w:cs="Times New Roman"/>
          <w:sz w:val="28"/>
          <w:szCs w:val="28"/>
        </w:rPr>
        <w:t xml:space="preserve"> 10,2 млн. руб.;</w:t>
      </w:r>
    </w:p>
    <w:p>
      <w:pPr>
        <w:pStyle w:val="Normal"/>
        <w:ind w:firstLine="709"/>
        <w:jc w:val="both"/>
        <w:rPr>
          <w:rFonts w:cs="Times New Roman"/>
          <w:sz w:val="28"/>
          <w:szCs w:val="28"/>
        </w:rPr>
      </w:pPr>
      <w:r>
        <w:rPr>
          <w:rFonts w:cs="Times New Roman"/>
          <w:sz w:val="28"/>
          <w:szCs w:val="28"/>
        </w:rPr>
        <w:t xml:space="preserve">- предприятие по выращиванию и производству зерновых культур </w:t>
        <w:br/>
        <w:t xml:space="preserve">с дальнейшей переработкой, производство по выращивание крупного рогатого скота ФГУСХП «Ульяновское» </w:t>
      </w:r>
      <w:r>
        <w:rPr>
          <w:rFonts w:eastAsia="Symbol" w:cs="Symbol" w:ascii="Symbol" w:hAnsi="Symbol"/>
          <w:sz w:val="28"/>
          <w:szCs w:val="28"/>
        </w:rPr>
        <w:t></w:t>
      </w:r>
      <w:r>
        <w:rPr>
          <w:rFonts w:cs="Times New Roman"/>
          <w:sz w:val="28"/>
          <w:szCs w:val="28"/>
        </w:rPr>
        <w:t xml:space="preserve"> 142,3 млн. руб.;</w:t>
      </w:r>
    </w:p>
    <w:p>
      <w:pPr>
        <w:pStyle w:val="Normal"/>
        <w:ind w:firstLine="709"/>
        <w:jc w:val="both"/>
        <w:rPr>
          <w:rFonts w:cs="Times New Roman"/>
          <w:sz w:val="28"/>
          <w:szCs w:val="28"/>
        </w:rPr>
      </w:pPr>
      <w:r>
        <w:rPr>
          <w:rFonts w:cs="Times New Roman"/>
          <w:sz w:val="28"/>
          <w:szCs w:val="28"/>
        </w:rPr>
        <w:t xml:space="preserve">- завод сухих смесей и подготовки песка ООО «Лукьяновский ГОК» </w:t>
      </w:r>
      <w:r>
        <w:rPr>
          <w:rFonts w:eastAsia="Symbol" w:cs="Symbol" w:ascii="Symbol" w:hAnsi="Symbol"/>
          <w:sz w:val="28"/>
          <w:szCs w:val="28"/>
        </w:rPr>
        <w:t></w:t>
      </w:r>
      <w:r>
        <w:rPr>
          <w:rFonts w:cs="Times New Roman"/>
          <w:sz w:val="28"/>
          <w:szCs w:val="28"/>
        </w:rPr>
        <w:t xml:space="preserve"> 750,0 млн. руб.;</w:t>
      </w:r>
    </w:p>
    <w:p>
      <w:pPr>
        <w:pStyle w:val="Normal"/>
        <w:ind w:firstLine="709"/>
        <w:jc w:val="both"/>
        <w:rPr>
          <w:rFonts w:cs="Times New Roman"/>
          <w:sz w:val="28"/>
          <w:szCs w:val="28"/>
        </w:rPr>
      </w:pPr>
      <w:r>
        <w:rPr>
          <w:rFonts w:cs="Times New Roman"/>
          <w:sz w:val="28"/>
          <w:szCs w:val="28"/>
        </w:rPr>
        <w:t xml:space="preserve">- свиноводческий комплекс ООО «Росбекон» </w:t>
      </w:r>
      <w:r>
        <w:rPr>
          <w:rFonts w:eastAsia="Symbol" w:cs="Symbol" w:ascii="Symbol" w:hAnsi="Symbol"/>
          <w:sz w:val="28"/>
          <w:szCs w:val="28"/>
        </w:rPr>
        <w:t></w:t>
      </w:r>
      <w:r>
        <w:rPr>
          <w:rFonts w:cs="Times New Roman"/>
          <w:sz w:val="28"/>
          <w:szCs w:val="28"/>
        </w:rPr>
        <w:t xml:space="preserve"> 885,0 млн. руб.</w:t>
      </w:r>
    </w:p>
    <w:p>
      <w:pPr>
        <w:pStyle w:val="Normal"/>
        <w:ind w:firstLine="709"/>
        <w:jc w:val="both"/>
        <w:rPr>
          <w:rFonts w:cs="Times New Roman"/>
          <w:sz w:val="28"/>
          <w:szCs w:val="28"/>
        </w:rPr>
      </w:pPr>
      <w:r>
        <w:rPr>
          <w:rFonts w:cs="Times New Roman"/>
          <w:sz w:val="28"/>
          <w:szCs w:val="28"/>
        </w:rPr>
        <w:t>К 2022 г. на территорию Тереньгульского района планируется привлечь инвестиции в размере 472 млн. руб.:</w:t>
      </w:r>
    </w:p>
    <w:p>
      <w:pPr>
        <w:pStyle w:val="Normal"/>
        <w:ind w:firstLine="709"/>
        <w:jc w:val="both"/>
        <w:rPr>
          <w:rFonts w:cs="Times New Roman"/>
          <w:sz w:val="28"/>
          <w:szCs w:val="28"/>
        </w:rPr>
      </w:pPr>
      <w:r>
        <w:rPr>
          <w:rFonts w:cs="Times New Roman"/>
          <w:sz w:val="28"/>
          <w:szCs w:val="28"/>
        </w:rPr>
        <w:t xml:space="preserve">- предприятие по разработке карьера ООО «Ульяновск-щебень» </w:t>
      </w:r>
      <w:r>
        <w:rPr>
          <w:rFonts w:eastAsia="Symbol" w:cs="Symbol" w:ascii="Symbol" w:hAnsi="Symbol"/>
          <w:sz w:val="28"/>
          <w:szCs w:val="28"/>
        </w:rPr>
        <w:t></w:t>
      </w:r>
      <w:r>
        <w:rPr>
          <w:rFonts w:cs="Times New Roman"/>
          <w:sz w:val="28"/>
          <w:szCs w:val="28"/>
        </w:rPr>
        <w:br/>
        <w:t>289,0 млн. руб.;</w:t>
      </w:r>
    </w:p>
    <w:p>
      <w:pPr>
        <w:pStyle w:val="Normal"/>
        <w:ind w:firstLine="709"/>
        <w:jc w:val="both"/>
        <w:rPr>
          <w:rFonts w:cs="Times New Roman"/>
          <w:sz w:val="28"/>
          <w:szCs w:val="28"/>
        </w:rPr>
      </w:pPr>
      <w:r>
        <w:rPr>
          <w:rFonts w:cs="Times New Roman"/>
          <w:sz w:val="28"/>
          <w:szCs w:val="28"/>
        </w:rPr>
        <w:t>- предприятие по выращиванию крупнорогатого скота мясных</w:t>
        <w:br/>
        <w:t xml:space="preserve">и помесных пород ООО «Ульяновск Ангус» </w:t>
      </w:r>
      <w:r>
        <w:rPr>
          <w:rFonts w:eastAsia="Symbol" w:cs="Symbol" w:ascii="Symbol" w:hAnsi="Symbol"/>
          <w:sz w:val="28"/>
          <w:szCs w:val="28"/>
        </w:rPr>
        <w:t></w:t>
      </w:r>
      <w:r>
        <w:rPr>
          <w:rFonts w:cs="Times New Roman"/>
          <w:sz w:val="28"/>
          <w:szCs w:val="28"/>
        </w:rPr>
        <w:t xml:space="preserve"> 140 млн. руб.;</w:t>
      </w:r>
    </w:p>
    <w:p>
      <w:pPr>
        <w:pStyle w:val="Normal"/>
        <w:ind w:firstLine="709"/>
        <w:jc w:val="both"/>
        <w:rPr>
          <w:rFonts w:cs="Times New Roman"/>
          <w:sz w:val="28"/>
          <w:szCs w:val="28"/>
        </w:rPr>
      </w:pPr>
      <w:r>
        <w:rPr>
          <w:rFonts w:cs="Times New Roman"/>
          <w:sz w:val="28"/>
          <w:szCs w:val="28"/>
        </w:rPr>
        <w:t xml:space="preserve">- расширение поголовья крупнорогатого скота мясных и молочных пород ООО «Сосновская Бурёнушка» </w:t>
      </w:r>
      <w:r>
        <w:rPr>
          <w:rFonts w:eastAsia="Symbol" w:cs="Symbol" w:ascii="Symbol" w:hAnsi="Symbol"/>
          <w:sz w:val="28"/>
          <w:szCs w:val="28"/>
        </w:rPr>
        <w:t></w:t>
      </w:r>
      <w:r>
        <w:rPr>
          <w:rFonts w:cs="Times New Roman"/>
          <w:sz w:val="28"/>
          <w:szCs w:val="28"/>
        </w:rPr>
        <w:t xml:space="preserve"> 43 млн. руб.</w:t>
      </w:r>
    </w:p>
    <w:p>
      <w:pPr>
        <w:pStyle w:val="Normal"/>
        <w:ind w:firstLine="709"/>
        <w:jc w:val="both"/>
        <w:rPr>
          <w:rFonts w:cs="Times New Roman"/>
          <w:sz w:val="28"/>
          <w:szCs w:val="20"/>
          <w:lang w:eastAsia="zh-CN"/>
        </w:rPr>
      </w:pPr>
      <w:r>
        <w:rPr>
          <w:rFonts w:cs="Times New Roman"/>
          <w:sz w:val="28"/>
          <w:szCs w:val="20"/>
          <w:lang w:eastAsia="zh-CN"/>
        </w:rPr>
        <w:t>Институтом развития, выступающим в качестве катализатора частных инвестиций в приоритетных секторах и отраслях экономики, является автономная некоммерческая организация «Центр развития предпринимательства Тереньгульского района Ульяновской области».</w:t>
      </w:r>
    </w:p>
    <w:p>
      <w:pPr>
        <w:pStyle w:val="Normal"/>
        <w:ind w:firstLine="709"/>
        <w:jc w:val="both"/>
        <w:rPr>
          <w:rFonts w:cs="Times New Roman"/>
          <w:b/>
          <w:b/>
          <w:sz w:val="28"/>
          <w:szCs w:val="20"/>
          <w:lang w:eastAsia="zh-CN"/>
        </w:rPr>
      </w:pPr>
      <w:r>
        <w:rPr>
          <w:rFonts w:cs="Times New Roman"/>
          <w:sz w:val="28"/>
          <w:szCs w:val="20"/>
          <w:lang w:eastAsia="zh-CN"/>
        </w:rPr>
        <w:t xml:space="preserve">Ключевой задачей АНО «Центр развития предпринимательства Тереньгульского района Ульяновской области» является привлечение крупных инвестиционных проектов на </w:t>
      </w:r>
      <w:r>
        <w:rPr>
          <w:rFonts w:cs="Times New Roman"/>
          <w:b/>
          <w:sz w:val="28"/>
          <w:szCs w:val="20"/>
          <w:lang w:eastAsia="zh-CN"/>
        </w:rPr>
        <w:t>свободные инвестиционные площадки Тереньгульского района:</w:t>
      </w:r>
    </w:p>
    <w:p>
      <w:pPr>
        <w:pStyle w:val="Normal"/>
        <w:ind w:firstLine="709"/>
        <w:jc w:val="both"/>
        <w:rPr>
          <w:rFonts w:cs="Times New Roman"/>
          <w:sz w:val="28"/>
          <w:szCs w:val="20"/>
          <w:lang w:eastAsia="zh-CN"/>
        </w:rPr>
      </w:pPr>
      <w:r>
        <w:rPr>
          <w:rFonts w:cs="Times New Roman"/>
          <w:sz w:val="28"/>
          <w:szCs w:val="20"/>
          <w:lang w:eastAsia="zh-CN"/>
        </w:rPr>
        <w:t xml:space="preserve">- близ ст. Молвино (до ж/д переезда справа от автодороги) </w:t>
      </w:r>
      <w:r>
        <w:rPr>
          <w:rFonts w:eastAsia="Symbol" w:cs="Symbol" w:ascii="Symbol" w:hAnsi="Symbol"/>
          <w:sz w:val="28"/>
          <w:szCs w:val="20"/>
          <w:lang w:eastAsia="zh-CN"/>
        </w:rPr>
        <w:t></w:t>
      </w:r>
      <w:r>
        <w:rPr>
          <w:rFonts w:cs="Times New Roman"/>
          <w:sz w:val="28"/>
          <w:szCs w:val="20"/>
          <w:lang w:eastAsia="zh-CN"/>
        </w:rPr>
        <w:t xml:space="preserve"> 25-30 га, готовится проект по переводу данных земель в категорию земель промышленного назначения;</w:t>
      </w:r>
    </w:p>
    <w:p>
      <w:pPr>
        <w:pStyle w:val="Normal"/>
        <w:ind w:firstLine="709"/>
        <w:jc w:val="both"/>
        <w:rPr>
          <w:rFonts w:cs="Times New Roman"/>
          <w:sz w:val="28"/>
          <w:szCs w:val="20"/>
          <w:lang w:eastAsia="zh-CN"/>
        </w:rPr>
      </w:pPr>
      <w:r>
        <w:rPr>
          <w:rFonts w:cs="Times New Roman"/>
          <w:sz w:val="28"/>
          <w:szCs w:val="20"/>
          <w:lang w:eastAsia="zh-CN"/>
        </w:rPr>
        <w:t>- близ ст. Молвино (после ж/д переезда справа от автодороги</w:t>
        <w:br/>
        <w:t xml:space="preserve">на ст. Молвино) </w:t>
      </w:r>
      <w:r>
        <w:rPr>
          <w:rFonts w:eastAsia="Symbol" w:cs="Symbol" w:ascii="Symbol" w:hAnsi="Symbol"/>
          <w:sz w:val="28"/>
          <w:szCs w:val="20"/>
          <w:lang w:eastAsia="zh-CN"/>
        </w:rPr>
        <w:t></w:t>
      </w:r>
      <w:r>
        <w:rPr>
          <w:rFonts w:cs="Times New Roman"/>
          <w:sz w:val="28"/>
          <w:szCs w:val="20"/>
          <w:lang w:eastAsia="zh-CN"/>
        </w:rPr>
        <w:t xml:space="preserve"> 30 га, готовится проект по переводу данных земель в категорию земель промышленного назначения;</w:t>
      </w:r>
    </w:p>
    <w:p>
      <w:pPr>
        <w:pStyle w:val="Normal"/>
        <w:ind w:firstLine="709"/>
        <w:jc w:val="both"/>
        <w:rPr>
          <w:rFonts w:cs="Times New Roman"/>
          <w:sz w:val="28"/>
          <w:szCs w:val="20"/>
          <w:lang w:eastAsia="zh-CN"/>
        </w:rPr>
      </w:pPr>
      <w:r>
        <w:rPr>
          <w:rFonts w:cs="Times New Roman"/>
          <w:sz w:val="28"/>
          <w:szCs w:val="20"/>
          <w:lang w:eastAsia="zh-CN"/>
        </w:rPr>
        <w:t xml:space="preserve">- р.п. Тереньга, ул. Сызранское шоссе, территория бывшего кирпичного завода </w:t>
      </w:r>
      <w:r>
        <w:rPr>
          <w:rFonts w:eastAsia="Symbol" w:cs="Symbol" w:ascii="Symbol" w:hAnsi="Symbol"/>
          <w:sz w:val="28"/>
          <w:szCs w:val="20"/>
          <w:lang w:eastAsia="zh-CN"/>
        </w:rPr>
        <w:t></w:t>
      </w:r>
      <w:r>
        <w:rPr>
          <w:rFonts w:cs="Times New Roman"/>
          <w:sz w:val="28"/>
          <w:szCs w:val="20"/>
          <w:lang w:eastAsia="zh-CN"/>
        </w:rPr>
        <w:t xml:space="preserve"> 6 га, категория земель промышленного назначения;</w:t>
      </w:r>
    </w:p>
    <w:p>
      <w:pPr>
        <w:pStyle w:val="Normal"/>
        <w:ind w:firstLine="709"/>
        <w:jc w:val="both"/>
        <w:rPr>
          <w:rFonts w:cs="Times New Roman"/>
          <w:sz w:val="28"/>
          <w:szCs w:val="20"/>
          <w:lang w:eastAsia="zh-CN"/>
        </w:rPr>
      </w:pPr>
      <w:r>
        <w:rPr>
          <w:rFonts w:cs="Times New Roman"/>
          <w:sz w:val="28"/>
          <w:szCs w:val="20"/>
          <w:lang w:eastAsia="zh-CN"/>
        </w:rPr>
        <w:t>- западная граница р.п. Тереньга – 212 га, готовится проект по переводу данных земель в категорию земель промышленного назначения;</w:t>
      </w:r>
    </w:p>
    <w:p>
      <w:pPr>
        <w:pStyle w:val="Normal"/>
        <w:ind w:firstLine="709"/>
        <w:jc w:val="both"/>
        <w:rPr>
          <w:rFonts w:cs="Times New Roman"/>
          <w:sz w:val="28"/>
          <w:szCs w:val="20"/>
          <w:lang w:eastAsia="zh-CN"/>
        </w:rPr>
      </w:pPr>
      <w:r>
        <w:rPr>
          <w:rFonts w:cs="Times New Roman"/>
          <w:sz w:val="28"/>
          <w:szCs w:val="20"/>
          <w:lang w:eastAsia="zh-CN"/>
        </w:rPr>
        <w:t>- Подкуровское сельское поселение, Ясашноташлинское сельское поселение – 2000 га, категория земель промышленного назначения.</w:t>
      </w:r>
    </w:p>
    <w:p>
      <w:pPr>
        <w:pStyle w:val="Normal"/>
        <w:ind w:firstLine="709"/>
        <w:jc w:val="both"/>
        <w:rPr>
          <w:rFonts w:cs="Times New Roman"/>
          <w:sz w:val="28"/>
          <w:szCs w:val="28"/>
          <w:lang w:val="en-US" w:eastAsia="zh-CN"/>
        </w:rPr>
      </w:pPr>
      <w:r>
        <w:rPr>
          <w:rFonts w:cs="Times New Roman"/>
          <w:sz w:val="28"/>
          <w:szCs w:val="28"/>
          <w:lang w:val="en-US" w:eastAsia="zh-CN"/>
        </w:rPr>
      </w:r>
    </w:p>
    <w:p>
      <w:pPr>
        <w:pStyle w:val="Normal"/>
        <w:rPr/>
      </w:pPr>
      <w:bookmarkStart w:id="10" w:name="_Toc2237190"/>
      <w:bookmarkStart w:id="11" w:name="_Toc4404989"/>
      <w:r>
        <w:rPr/>
        <w:t>1.4. Малое и среднее предпринимательство</w:t>
      </w:r>
      <w:bookmarkEnd w:id="10"/>
      <w:bookmarkEnd w:id="11"/>
    </w:p>
    <w:p>
      <w:pPr>
        <w:pStyle w:val="Normal"/>
        <w:ind w:firstLine="709"/>
        <w:jc w:val="both"/>
        <w:rPr>
          <w:rFonts w:cs="Times New Roman"/>
          <w:bCs/>
          <w:sz w:val="28"/>
          <w:szCs w:val="28"/>
        </w:rPr>
      </w:pPr>
      <w:r>
        <w:rPr>
          <w:rFonts w:cs="Times New Roman"/>
          <w:bCs/>
          <w:sz w:val="28"/>
          <w:szCs w:val="28"/>
        </w:rPr>
        <w:t>Субъекты малого и среднего предпринимательства (далее – МСП) являются основной составляющей формирования экономики Тереньгульского район, которые занимают 83% в структуре всех хозяйствующих субъектов, осуществляющих деятельность на территории района.</w:t>
      </w:r>
    </w:p>
    <w:p>
      <w:pPr>
        <w:pStyle w:val="Normal"/>
        <w:shd w:val="clear" w:color="auto" w:fill="FFFFFF"/>
        <w:ind w:firstLine="709"/>
        <w:jc w:val="both"/>
        <w:rPr>
          <w:rFonts w:cs="Times New Roman"/>
          <w:sz w:val="28"/>
          <w:szCs w:val="28"/>
        </w:rPr>
      </w:pPr>
      <w:r>
        <w:rPr>
          <w:rFonts w:cs="Times New Roman"/>
          <w:sz w:val="28"/>
          <w:szCs w:val="28"/>
        </w:rPr>
        <w:t>Ниже приведены данные по показателям, характеризующим развитие МСП на территории Тереньгульского района, которые были сформированы по результатам сплошного федерального статистического наблюдения за деятельностью субъектов МСП за 2010 и 2015 гг.</w:t>
      </w:r>
    </w:p>
    <w:p>
      <w:pPr>
        <w:pStyle w:val="Caption"/>
        <w:keepNext w:val="true"/>
        <w:spacing w:before="120" w:after="120"/>
        <w:jc w:val="center"/>
        <w:rPr>
          <w:rFonts w:cs="Times New Roman"/>
          <w:color w:val="auto"/>
          <w:sz w:val="28"/>
          <w:szCs w:val="28"/>
        </w:rPr>
      </w:pPr>
      <w:r>
        <w:rPr>
          <w:rFonts w:cs="Times New Roman"/>
          <w:color w:val="auto"/>
          <w:sz w:val="28"/>
          <w:szCs w:val="28"/>
        </w:rPr>
        <w:t xml:space="preserve">Таблица </w:t>
      </w:r>
      <w:r>
        <w:rPr>
          <w:rFonts w:cs="Times New Roman"/>
          <w:sz w:val="28"/>
          <w:szCs w:val="28"/>
        </w:rPr>
        <w:fldChar w:fldCharType="begin"/>
      </w:r>
      <w:r>
        <w:rPr>
          <w:sz w:val="28"/>
          <w:szCs w:val="28"/>
          <w:rFonts w:cs="Times New Roman"/>
        </w:rPr>
        <w:instrText> SEQ Таблица \* ARABIC </w:instrText>
      </w:r>
      <w:r>
        <w:rPr>
          <w:sz w:val="28"/>
          <w:szCs w:val="28"/>
          <w:rFonts w:cs="Times New Roman"/>
        </w:rPr>
        <w:fldChar w:fldCharType="separate"/>
      </w:r>
      <w:r>
        <w:rPr>
          <w:sz w:val="28"/>
          <w:szCs w:val="28"/>
          <w:rFonts w:cs="Times New Roman"/>
        </w:rPr>
        <w:t>4</w:t>
      </w:r>
      <w:r>
        <w:rPr>
          <w:sz w:val="28"/>
          <w:szCs w:val="28"/>
          <w:rFonts w:cs="Times New Roman"/>
        </w:rPr>
        <w:fldChar w:fldCharType="end"/>
      </w:r>
      <w:r>
        <w:rPr>
          <w:rFonts w:cs="Times New Roman"/>
          <w:color w:val="auto"/>
          <w:sz w:val="28"/>
          <w:szCs w:val="28"/>
        </w:rPr>
        <w:t xml:space="preserve"> – Показатели, характеризующие развитие МСП </w:t>
        <w:br/>
        <w:t>на территории МО «Тереньгульский район» за 2010 и 2015 гг.</w:t>
      </w:r>
    </w:p>
    <w:tbl>
      <w:tblPr>
        <w:tblW w:w="5000" w:type="pct"/>
        <w:jc w:val="left"/>
        <w:tblInd w:w="0" w:type="dxa"/>
        <w:tblCellMar>
          <w:top w:w="0" w:type="dxa"/>
          <w:left w:w="108" w:type="dxa"/>
          <w:bottom w:w="0" w:type="dxa"/>
          <w:right w:w="108" w:type="dxa"/>
        </w:tblCellMar>
        <w:tblLook w:noVBand="1" w:val="04a0" w:noHBand="0" w:lastColumn="0" w:firstColumn="1" w:lastRow="0" w:firstRow="1"/>
      </w:tblPr>
      <w:tblGrid>
        <w:gridCol w:w="6441"/>
        <w:gridCol w:w="882"/>
        <w:gridCol w:w="1028"/>
        <w:gridCol w:w="1286"/>
      </w:tblGrid>
      <w:tr>
        <w:trPr>
          <w:trHeight w:val="290" w:hRule="atLeast"/>
        </w:trPr>
        <w:tc>
          <w:tcPr>
            <w:tcW w:w="64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Наименование показателя</w:t>
            </w:r>
          </w:p>
        </w:tc>
        <w:tc>
          <w:tcPr>
            <w:tcW w:w="8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pacing w:val="-4"/>
                <w:sz w:val="22"/>
                <w:szCs w:val="22"/>
                <w:lang w:eastAsia="ru-RU"/>
              </w:rPr>
            </w:pPr>
            <w:r>
              <w:rPr>
                <w:rFonts w:cs="Times New Roman"/>
                <w:b/>
                <w:bCs/>
                <w:sz w:val="22"/>
                <w:szCs w:val="22"/>
                <w:lang w:eastAsia="ru-RU"/>
              </w:rPr>
              <w:t xml:space="preserve">2010 </w:t>
            </w:r>
          </w:p>
        </w:tc>
        <w:tc>
          <w:tcPr>
            <w:tcW w:w="10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rPr>
            </w:pPr>
            <w:r>
              <w:rPr>
                <w:rFonts w:cs="Times New Roman"/>
                <w:b/>
                <w:bCs/>
                <w:sz w:val="22"/>
                <w:szCs w:val="22"/>
                <w:lang w:eastAsia="ru-RU"/>
              </w:rPr>
              <w:t xml:space="preserve">2015 </w:t>
            </w:r>
          </w:p>
        </w:tc>
        <w:tc>
          <w:tcPr>
            <w:tcW w:w="12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 xml:space="preserve">Темп </w:t>
            </w:r>
          </w:p>
          <w:p>
            <w:pPr>
              <w:pStyle w:val="Normal"/>
              <w:jc w:val="center"/>
              <w:rPr>
                <w:rFonts w:cs="Times New Roman"/>
                <w:b/>
                <w:b/>
                <w:bCs/>
                <w:spacing w:val="-4"/>
                <w:sz w:val="22"/>
                <w:szCs w:val="22"/>
                <w:lang w:eastAsia="ru-RU"/>
              </w:rPr>
            </w:pPr>
            <w:r>
              <w:rPr>
                <w:rFonts w:cs="Times New Roman"/>
                <w:b/>
                <w:bCs/>
                <w:sz w:val="22"/>
                <w:szCs w:val="22"/>
                <w:lang w:eastAsia="ru-RU"/>
              </w:rPr>
              <w:t>роста, %</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lang w:eastAsia="ru-RU"/>
              </w:rPr>
            </w:pPr>
            <w:r>
              <w:rPr>
                <w:rFonts w:cs="Times New Roman"/>
                <w:sz w:val="22"/>
                <w:szCs w:val="22"/>
                <w:lang w:eastAsia="ru-RU"/>
              </w:rPr>
              <w:t xml:space="preserve">Количество субъектов МСП, ед. </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343</w:t>
            </w:r>
          </w:p>
        </w:tc>
        <w:tc>
          <w:tcPr>
            <w:tcW w:w="10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374</w:t>
            </w:r>
          </w:p>
        </w:tc>
        <w:tc>
          <w:tcPr>
            <w:tcW w:w="128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109,0</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lang w:eastAsia="ru-RU"/>
              </w:rPr>
            </w:pPr>
            <w:r>
              <w:rPr>
                <w:rFonts w:cs="Times New Roman"/>
                <w:sz w:val="22"/>
                <w:szCs w:val="22"/>
                <w:lang w:eastAsia="ru-RU"/>
              </w:rPr>
              <w:t>Число субъектов МСП в расчёте на 10 тыс. населения, ед.</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183</w:t>
            </w:r>
          </w:p>
        </w:tc>
        <w:tc>
          <w:tcPr>
            <w:tcW w:w="10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210</w:t>
            </w:r>
          </w:p>
        </w:tc>
        <w:tc>
          <w:tcPr>
            <w:tcW w:w="128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114,8</w:t>
            </w:r>
          </w:p>
        </w:tc>
      </w:tr>
      <w:tr>
        <w:trPr>
          <w:trHeight w:val="457" w:hRule="atLeast"/>
        </w:trPr>
        <w:tc>
          <w:tcPr>
            <w:tcW w:w="64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lang w:eastAsia="ru-RU"/>
              </w:rPr>
            </w:pPr>
            <w:r>
              <w:rPr>
                <w:rFonts w:cs="Times New Roman"/>
                <w:sz w:val="22"/>
                <w:szCs w:val="22"/>
                <w:lang w:eastAsia="ru-RU"/>
              </w:rPr>
              <w:t>Доля среднесписочной численности работников (без внешних совместителей) МСП в среднесписочной численности работников (без внешних совместителей) всех предприятий и организаций, %</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16,1</w:t>
            </w:r>
          </w:p>
        </w:tc>
        <w:tc>
          <w:tcPr>
            <w:tcW w:w="10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20,2</w:t>
            </w:r>
          </w:p>
        </w:tc>
        <w:tc>
          <w:tcPr>
            <w:tcW w:w="128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125,5</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lang w:eastAsia="ru-RU"/>
              </w:rPr>
            </w:pPr>
            <w:r>
              <w:rPr>
                <w:rFonts w:cs="Times New Roman"/>
                <w:sz w:val="22"/>
                <w:szCs w:val="22"/>
                <w:lang w:eastAsia="ru-RU"/>
              </w:rPr>
              <w:t>Выручка от продажи товаров, продукции, работ, услуг, млн. руб.</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394,8</w:t>
            </w:r>
          </w:p>
        </w:tc>
        <w:tc>
          <w:tcPr>
            <w:tcW w:w="10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1 221,0</w:t>
            </w:r>
          </w:p>
        </w:tc>
        <w:tc>
          <w:tcPr>
            <w:tcW w:w="128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309,3</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lang w:eastAsia="ru-RU"/>
              </w:rPr>
            </w:pPr>
            <w:r>
              <w:rPr>
                <w:rFonts w:cs="Times New Roman"/>
                <w:sz w:val="22"/>
                <w:szCs w:val="22"/>
                <w:lang w:eastAsia="ru-RU"/>
              </w:rPr>
              <w:t>Инвестиции в основной капитал субъектов МСП, млн. руб.</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16,7</w:t>
            </w:r>
          </w:p>
        </w:tc>
        <w:tc>
          <w:tcPr>
            <w:tcW w:w="10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201,0</w:t>
            </w:r>
          </w:p>
        </w:tc>
        <w:tc>
          <w:tcPr>
            <w:tcW w:w="128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1203</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lang w:eastAsia="ru-RU"/>
              </w:rPr>
            </w:pPr>
            <w:r>
              <w:rPr>
                <w:rFonts w:cs="Times New Roman"/>
                <w:sz w:val="22"/>
                <w:szCs w:val="22"/>
                <w:lang w:eastAsia="ru-RU"/>
              </w:rPr>
              <w:t>Доля налоговых поступлений от налоговых доходов со специальными режимами (ЕНВД, УСНО, ЕСХН, патент) в общей сумме налоговых доходов консолидированного бюджета Тереньгульского района, %</w:t>
            </w:r>
          </w:p>
        </w:tc>
        <w:tc>
          <w:tcPr>
            <w:tcW w:w="8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6,6</w:t>
            </w:r>
          </w:p>
        </w:tc>
        <w:tc>
          <w:tcPr>
            <w:tcW w:w="10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11,7</w:t>
            </w:r>
          </w:p>
        </w:tc>
        <w:tc>
          <w:tcPr>
            <w:tcW w:w="128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177,3</w:t>
            </w:r>
          </w:p>
        </w:tc>
      </w:tr>
    </w:tbl>
    <w:p>
      <w:pPr>
        <w:pStyle w:val="Normal"/>
        <w:shd w:val="clear" w:color="auto" w:fill="FFFFFF"/>
        <w:ind w:firstLine="709"/>
        <w:jc w:val="both"/>
        <w:rPr>
          <w:rFonts w:cs="Times New Roman"/>
          <w:sz w:val="28"/>
          <w:szCs w:val="28"/>
        </w:rPr>
      </w:pPr>
      <w:r>
        <w:rPr>
          <w:rFonts w:cs="Times New Roman"/>
          <w:sz w:val="28"/>
          <w:szCs w:val="28"/>
        </w:rPr>
      </w:r>
    </w:p>
    <w:p>
      <w:pPr>
        <w:pStyle w:val="Normal"/>
        <w:shd w:val="clear" w:color="auto" w:fill="FFFFFF"/>
        <w:ind w:firstLine="709"/>
        <w:jc w:val="both"/>
        <w:rPr>
          <w:rFonts w:cs="Times New Roman"/>
          <w:sz w:val="28"/>
          <w:szCs w:val="28"/>
        </w:rPr>
      </w:pPr>
      <w:r>
        <w:rPr>
          <w:rFonts w:cs="Times New Roman"/>
          <w:sz w:val="28"/>
          <w:szCs w:val="28"/>
        </w:rPr>
        <w:t>В целом за анализируемый период по муниципалитету наблюдается рост числа субъектов МСП, который составил 109,0%.</w:t>
      </w:r>
    </w:p>
    <w:p>
      <w:pPr>
        <w:pStyle w:val="Normal"/>
        <w:shd w:val="clear" w:color="auto" w:fill="FFFFFF"/>
        <w:ind w:firstLine="709"/>
        <w:jc w:val="both"/>
        <w:rPr>
          <w:rFonts w:cs="Times New Roman"/>
          <w:sz w:val="28"/>
          <w:szCs w:val="28"/>
        </w:rPr>
      </w:pPr>
      <w:r>
        <w:rPr>
          <w:rFonts w:cs="Times New Roman"/>
          <w:sz w:val="28"/>
          <w:szCs w:val="28"/>
        </w:rPr>
        <w:t>Выручка предприятий малого и среднего бизнеса от продажи товаров, продукции, работ, услуг в 2015 г. составила 1 221 млн. руб., что в 3 раза выше уровня 2010 г.</w:t>
      </w:r>
    </w:p>
    <w:p>
      <w:pPr>
        <w:pStyle w:val="Normal"/>
        <w:shd w:val="clear" w:color="auto" w:fill="FFFFFF"/>
        <w:ind w:firstLine="709"/>
        <w:jc w:val="both"/>
        <w:rPr>
          <w:rFonts w:cs="Times New Roman"/>
          <w:sz w:val="28"/>
          <w:szCs w:val="28"/>
        </w:rPr>
      </w:pPr>
      <w:r>
        <w:rPr>
          <w:rFonts w:cs="Times New Roman"/>
          <w:sz w:val="28"/>
          <w:szCs w:val="28"/>
        </w:rPr>
        <w:t>Среднесписочная численность работающих в малом и среднем предпринимательстве в 2015 г. составила 915 человек.</w:t>
      </w:r>
    </w:p>
    <w:p>
      <w:pPr>
        <w:pStyle w:val="Normal"/>
        <w:shd w:val="clear" w:color="auto" w:fill="FFFFFF"/>
        <w:ind w:firstLine="709"/>
        <w:jc w:val="both"/>
        <w:rPr>
          <w:rFonts w:cs="Times New Roman"/>
          <w:sz w:val="28"/>
          <w:szCs w:val="28"/>
        </w:rPr>
      </w:pPr>
      <w:r>
        <w:rPr>
          <w:rFonts w:cs="Times New Roman"/>
          <w:sz w:val="28"/>
          <w:szCs w:val="28"/>
        </w:rPr>
        <w:t xml:space="preserve">Доля среднесписочной численности работников (без внешних совместителей) МСП в среднесписочной численности работников (без внешних совместителей) всех предприятий и организаций увеличилась на 4,1% по сравнению с 2010 г. и составила по итогам 2015 г. </w:t>
        <w:noBreakHyphen/>
        <w:t xml:space="preserve"> 20,2%.</w:t>
      </w:r>
    </w:p>
    <w:p>
      <w:pPr>
        <w:pStyle w:val="Normal"/>
        <w:ind w:firstLine="709"/>
        <w:jc w:val="both"/>
        <w:rPr>
          <w:rFonts w:cs="Times New Roman"/>
          <w:sz w:val="28"/>
          <w:szCs w:val="28"/>
        </w:rPr>
      </w:pPr>
      <w:r>
        <w:rPr>
          <w:rFonts w:cs="Times New Roman"/>
          <w:sz w:val="28"/>
          <w:szCs w:val="28"/>
        </w:rPr>
        <w:t>Малый и средний бизнес охватывает все отрасли экономики, наибольшую долю занимает оптовая и розничная торговля, сельское хозяйство, транспорт и связь.</w:t>
      </w:r>
    </w:p>
    <w:p>
      <w:pPr>
        <w:pStyle w:val="Normal"/>
        <w:keepNext w:val="true"/>
        <w:jc w:val="center"/>
        <w:rPr/>
      </w:pPr>
      <w:r>
        <w:rPr/>
        <w:drawing>
          <wp:inline distT="0" distB="0" distL="0" distR="0">
            <wp:extent cx="5943600" cy="2849245"/>
            <wp:effectExtent l="0" t="0" r="0" b="0"/>
            <wp:docPr id="1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Caption"/>
        <w:spacing w:before="12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8</w:t>
      </w:r>
      <w:r>
        <w:rPr>
          <w:sz w:val="28"/>
          <w:szCs w:val="28"/>
        </w:rPr>
        <w:fldChar w:fldCharType="end"/>
      </w:r>
      <w:r>
        <w:rPr>
          <w:color w:val="auto"/>
          <w:sz w:val="28"/>
          <w:szCs w:val="28"/>
        </w:rPr>
        <w:t xml:space="preserve"> - Структура субъектов малого и среднего предпринимательства по виду деятельности в Тереньгульском районе в 2018 г., %</w:t>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t xml:space="preserve">По оперативным данным в Тереньгульский район по состоянию </w:t>
        <w:br/>
        <w:t xml:space="preserve">на 01.01.2018 г. осуществляли свою деятельность 371 субъект МСП, из них – </w:t>
        <w:br/>
        <w:t>51 юридическое лицо и 312 индивидуальных предпринимателей.</w:t>
      </w:r>
    </w:p>
    <w:p>
      <w:pPr>
        <w:pStyle w:val="Normal"/>
        <w:ind w:firstLine="709"/>
        <w:jc w:val="both"/>
        <w:rPr>
          <w:sz w:val="28"/>
          <w:szCs w:val="28"/>
        </w:rPr>
      </w:pPr>
      <w:r>
        <w:rPr>
          <w:sz w:val="28"/>
          <w:szCs w:val="28"/>
        </w:rPr>
        <w:t>Общее количество занятых в сфере МСП (с учётом индивидуальных предпринимателей, без внешних совместителей) по состоянию на 01.01.2018 г. составило 920 человек. Доля среднесписочной численности работников (без внешних совместителей) МСП в среднесписочной численности работников всех предприятий составила 33,4%. На 1 тыс. жителей района приходится 20,8 субъектов МСП и в 2015 г. район занимал 13 место по этому показателю.</w:t>
      </w:r>
    </w:p>
    <w:p>
      <w:pPr>
        <w:pStyle w:val="Style81"/>
        <w:spacing w:lineRule="auto" w:line="240"/>
        <w:ind w:firstLine="709"/>
        <w:jc w:val="both"/>
        <w:rPr>
          <w:sz w:val="28"/>
          <w:szCs w:val="28"/>
        </w:rPr>
      </w:pPr>
      <w:r>
        <w:rPr>
          <w:sz w:val="28"/>
          <w:szCs w:val="28"/>
        </w:rPr>
        <w:t>В целях стимулирования развития субъектов МСП в районе реализуется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гг.»», основная цель которой — создание на территории Тереньгульского района благоприятных условий для устойчивого развития предприятий субъектов МСП, способствующих созданию новых рабочих мест и развитию реального сектора экономики.</w:t>
      </w:r>
    </w:p>
    <w:p>
      <w:pPr>
        <w:pStyle w:val="Style81"/>
        <w:spacing w:lineRule="auto" w:line="240"/>
        <w:ind w:firstLine="709"/>
        <w:jc w:val="both"/>
        <w:rPr>
          <w:sz w:val="28"/>
          <w:szCs w:val="28"/>
        </w:rPr>
      </w:pPr>
      <w:r>
        <w:rPr>
          <w:b/>
          <w:sz w:val="28"/>
          <w:szCs w:val="28"/>
        </w:rPr>
        <w:t>На территории Тереньгульского района с 2010 г. осуществляет деятельность АНО «Центр развития предпринимательства Тереньгульского района Ульяновской области».</w:t>
      </w:r>
      <w:r>
        <w:rPr>
          <w:sz w:val="28"/>
          <w:szCs w:val="28"/>
        </w:rPr>
        <w:t xml:space="preserve"> В перечень услуг данной организации входит: организационное и юридическое обеспечение и сопровождение деятельности субъектов МСП, содействие субъектам МСП при взаимодействии с органами государственной власти и местного самоуправления в режиме «одного окна» по основным вопросам ведения предпринимательской деятельности и т.д.</w:t>
      </w:r>
    </w:p>
    <w:p>
      <w:pPr>
        <w:pStyle w:val="Style81"/>
        <w:spacing w:lineRule="auto" w:line="240"/>
        <w:ind w:firstLine="709"/>
        <w:jc w:val="both"/>
        <w:rPr>
          <w:sz w:val="28"/>
          <w:szCs w:val="28"/>
        </w:rPr>
      </w:pPr>
      <w:r>
        <w:rPr>
          <w:b/>
          <w:sz w:val="28"/>
          <w:szCs w:val="28"/>
        </w:rPr>
        <w:t>В период с 2009 г. по настоящее время были предоставлены меры грантовой поддержки более чем 32 субъектам предпринимательства, расположенным на территории Тереньгульского района, на общую сумму порядка 20 млн. руб.</w:t>
      </w:r>
      <w:r>
        <w:rPr>
          <w:sz w:val="28"/>
          <w:szCs w:val="28"/>
        </w:rPr>
        <w:t xml:space="preserve"> Среди получателей мер поддержки наибольший удельный вес занимают сельскохозяйственные предприятия.</w:t>
      </w:r>
    </w:p>
    <w:p>
      <w:pPr>
        <w:pStyle w:val="Style81"/>
        <w:spacing w:lineRule="auto" w:line="240"/>
        <w:ind w:firstLine="709"/>
        <w:jc w:val="both"/>
        <w:rPr>
          <w:sz w:val="28"/>
          <w:szCs w:val="28"/>
        </w:rPr>
      </w:pPr>
      <w:r>
        <w:rPr>
          <w:sz w:val="28"/>
          <w:szCs w:val="28"/>
        </w:rPr>
        <w:t xml:space="preserve">Вместе с тем, одной из ключевых проблем в развитии МСП является 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 Несмотря на это, в Тереньгульском районе не предусмотрено муниципальными программами финансирование мероприятий, связанных </w:t>
        <w:br/>
        <w:t>с предоставлением финансовых</w:t>
      </w:r>
      <w:r>
        <w:rPr>
          <w:rFonts w:eastAsia="Calibri" w:eastAsiaTheme="minorHAnsi"/>
          <w:sz w:val="28"/>
          <w:szCs w:val="28"/>
          <w:lang w:eastAsia="en-US"/>
        </w:rPr>
        <w:t xml:space="preserve"> мер поддержки субъектам МСП на период </w:t>
        <w:br/>
        <w:t>с 2019 по 2021 гг.</w:t>
      </w:r>
    </w:p>
    <w:p>
      <w:pPr>
        <w:pStyle w:val="Style81"/>
        <w:spacing w:lineRule="auto" w:line="240"/>
        <w:ind w:firstLine="709"/>
        <w:jc w:val="both"/>
        <w:rPr>
          <w:rFonts w:eastAsia="Calibri" w:eastAsiaTheme="minorHAnsi"/>
          <w:sz w:val="28"/>
          <w:szCs w:val="28"/>
          <w:lang w:eastAsia="en-US"/>
        </w:rPr>
      </w:pPr>
      <w:r>
        <w:rPr>
          <w:rFonts w:eastAsia="Calibri" w:eastAsiaTheme="minorHAnsi"/>
          <w:sz w:val="28"/>
          <w:szCs w:val="28"/>
          <w:lang w:eastAsia="en-US"/>
        </w:rPr>
        <w:t xml:space="preserve">Кроме того, </w:t>
      </w:r>
      <w:r>
        <w:rPr>
          <w:rFonts w:eastAsia="Calibri" w:eastAsiaTheme="minorHAnsi"/>
          <w:b/>
          <w:sz w:val="28"/>
          <w:szCs w:val="28"/>
          <w:lang w:eastAsia="en-US"/>
        </w:rPr>
        <w:t>одним из важных минусов является наличие большой доли теневого оборота организаций малого бизнеса и индивидуальных предпринимателей, наличие «серых» схем оплаты труда.</w:t>
      </w:r>
      <w:r>
        <w:rPr>
          <w:rFonts w:eastAsia="Calibri" w:eastAsiaTheme="minorHAnsi"/>
          <w:sz w:val="28"/>
          <w:szCs w:val="28"/>
          <w:lang w:eastAsia="en-US"/>
        </w:rPr>
        <w:t xml:space="preserve"> Так, по состоянию </w:t>
        <w:br/>
        <w:t>на 31.12.2018 г. выявлено 157 фактов «неформальной» занятости, которые были легализованы в 100%-ом размере.</w:t>
      </w:r>
    </w:p>
    <w:p>
      <w:pPr>
        <w:pStyle w:val="Style81"/>
        <w:spacing w:lineRule="auto" w:line="240"/>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rPr/>
      </w:pPr>
      <w:bookmarkStart w:id="12" w:name="_Toc2237191"/>
      <w:bookmarkStart w:id="13" w:name="_Toc4404990"/>
      <w:r>
        <w:rPr>
          <w:rFonts w:eastAsia="Calibri" w:eastAsiaTheme="minorHAnsi"/>
          <w:lang w:eastAsia="en-US"/>
        </w:rPr>
        <w:t>1.5. Социальная сфера</w:t>
      </w:r>
      <w:bookmarkEnd w:id="12"/>
      <w:bookmarkEnd w:id="13"/>
    </w:p>
    <w:p>
      <w:pPr>
        <w:pStyle w:val="32"/>
        <w:rPr/>
      </w:pPr>
      <w:bookmarkStart w:id="14" w:name="_Toc2237192"/>
      <w:bookmarkStart w:id="15" w:name="_Toc4404991"/>
      <w:r>
        <w:rPr/>
        <w:t>1.5.1. Демография</w:t>
      </w:r>
      <w:bookmarkEnd w:id="14"/>
      <w:bookmarkEnd w:id="15"/>
    </w:p>
    <w:p>
      <w:pPr>
        <w:pStyle w:val="Normal"/>
        <w:ind w:firstLine="709"/>
        <w:jc w:val="both"/>
        <w:rPr>
          <w:rFonts w:cs="Times New Roman"/>
          <w:sz w:val="28"/>
          <w:szCs w:val="28"/>
        </w:rPr>
      </w:pPr>
      <w:r>
        <w:rPr>
          <w:rFonts w:cs="Times New Roman"/>
          <w:sz w:val="28"/>
          <w:szCs w:val="28"/>
        </w:rPr>
        <w:t>Численность населения Тереньгульского района ежегодно сокращается в среднем на 200 человек. Постепенно меняется соотношение численности населения по возрастам: с 2011 г. доля населения старше трудоспособного возраста выросла на 8,1%, доля численности населения в трудоспособном возрасте сократилась на 8,6%. Т.е. увеличиваются диспропорции по возрастному составу, отмечается старение населения.</w:t>
      </w:r>
    </w:p>
    <w:p>
      <w:pPr>
        <w:pStyle w:val="Normal"/>
        <w:keepNext w:val="true"/>
        <w:jc w:val="center"/>
        <w:rPr/>
      </w:pPr>
      <w:r>
        <w:rPr/>
        <w:drawing>
          <wp:inline distT="0" distB="0" distL="0" distR="0">
            <wp:extent cx="5975350" cy="2860040"/>
            <wp:effectExtent l="0" t="0" r="0" b="0"/>
            <wp:docPr id="1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Caption"/>
        <w:jc w:val="center"/>
        <w:rPr>
          <w:rFonts w:cs="Times New Roman"/>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9</w:t>
      </w:r>
      <w:r>
        <w:rPr>
          <w:sz w:val="28"/>
          <w:szCs w:val="28"/>
        </w:rPr>
        <w:fldChar w:fldCharType="end"/>
      </w:r>
      <w:r>
        <w:rPr>
          <w:color w:val="auto"/>
          <w:sz w:val="28"/>
          <w:szCs w:val="28"/>
        </w:rPr>
        <w:t xml:space="preserve"> - Численность населения в Тереньгульском районе (в том числе по возрастам) за 2008-2018 гг., тыс. чел.</w:t>
      </w:r>
    </w:p>
    <w:p>
      <w:pPr>
        <w:pStyle w:val="Normal"/>
        <w:ind w:firstLine="709"/>
        <w:jc w:val="both"/>
        <w:rPr>
          <w:rFonts w:cs="Times New Roman"/>
          <w:sz w:val="28"/>
          <w:szCs w:val="28"/>
        </w:rPr>
      </w:pPr>
      <w:r>
        <w:rPr>
          <w:rFonts w:cs="Times New Roman"/>
          <w:sz w:val="28"/>
          <w:szCs w:val="28"/>
        </w:rPr>
        <w:t xml:space="preserve">На протяжении 10 лет демографическая ситуация характеризуется естественной убылью населения. Наименьшая убыль зафиксирована в 2012-2014 гг., минимальный коэффициент естественной убыли населения зафиксирован в 2014 г. (-3,0), однако положительную динамику сохранить </w:t>
        <w:br/>
        <w:t>не удалось.</w:t>
      </w:r>
    </w:p>
    <w:p>
      <w:pPr>
        <w:pStyle w:val="Normal"/>
        <w:keepNext w:val="true"/>
        <w:rPr/>
      </w:pPr>
      <w:r>
        <w:rPr/>
        <w:drawing>
          <wp:inline distT="0" distB="0" distL="0" distR="0">
            <wp:extent cx="6000750" cy="3409950"/>
            <wp:effectExtent l="0" t="0" r="0" b="0"/>
            <wp:docPr id="1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10</w:t>
      </w:r>
      <w:r>
        <w:rPr>
          <w:sz w:val="28"/>
          <w:szCs w:val="28"/>
        </w:rPr>
        <w:fldChar w:fldCharType="end"/>
      </w:r>
      <w:r>
        <w:rPr>
          <w:color w:val="auto"/>
          <w:sz w:val="28"/>
          <w:szCs w:val="28"/>
        </w:rPr>
        <w:t xml:space="preserve"> - Естественная убыль населения в Тереньгульском районе </w:t>
      </w:r>
    </w:p>
    <w:p>
      <w:pPr>
        <w:pStyle w:val="Caption"/>
        <w:spacing w:before="0" w:after="0"/>
        <w:jc w:val="center"/>
        <w:rPr>
          <w:rFonts w:cs="Times New Roman"/>
          <w:color w:val="auto"/>
          <w:sz w:val="28"/>
          <w:szCs w:val="28"/>
        </w:rPr>
      </w:pPr>
      <w:r>
        <w:rPr>
          <w:color w:val="auto"/>
          <w:sz w:val="28"/>
          <w:szCs w:val="28"/>
        </w:rPr>
        <w:t>за 2008-2017 гг., чел.</w:t>
      </w:r>
    </w:p>
    <w:p>
      <w:pPr>
        <w:pStyle w:val="Normal"/>
        <w:ind w:firstLine="709"/>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Коэффициент рождаемости составил 8,4 промилле и ниже среднеобластного (10,1), в 2017 г. достиг своего минимального значения за 10 лет. Снижение рождаемости объясняется сокращением численности женщин фертильного возраста.</w:t>
      </w:r>
    </w:p>
    <w:p>
      <w:pPr>
        <w:pStyle w:val="Normal"/>
        <w:ind w:firstLine="709"/>
        <w:jc w:val="both"/>
        <w:rPr>
          <w:rFonts w:cs="Times New Roman"/>
          <w:sz w:val="28"/>
          <w:szCs w:val="28"/>
        </w:rPr>
      </w:pPr>
      <w:r>
        <w:rPr>
          <w:rFonts w:cs="Times New Roman"/>
          <w:sz w:val="28"/>
          <w:szCs w:val="28"/>
        </w:rPr>
        <w:t xml:space="preserve">Коэффициент смертности имеет положительную тенденцию к снижению. Самый высокий уровень смертности регистрируется в 2008 г. В 2017 г. достиг минимального значения. Профилактика, своевременная диагностика заболеваний позволяют сократить количество смертельных случаев. </w:t>
      </w:r>
    </w:p>
    <w:p>
      <w:pPr>
        <w:pStyle w:val="Normal"/>
        <w:ind w:firstLine="709"/>
        <w:jc w:val="both"/>
        <w:rPr>
          <w:rFonts w:cs="Times New Roman"/>
          <w:sz w:val="28"/>
          <w:szCs w:val="28"/>
        </w:rPr>
      </w:pPr>
      <w:r>
        <w:rPr>
          <w:rFonts w:cs="Times New Roman"/>
          <w:sz w:val="28"/>
          <w:szCs w:val="28"/>
        </w:rPr>
        <w:t>Среди основных причин смертности: болезни системы кровообращения – 60%, новообразования – 13%, внешние причины – 9%. Среди внешних факторов высока доля транспортных травм (17%), самоубийств (17%) и отравлений алкоголем (13%). Удалось снизить долю смертей от болезней органов дыхания, туберкулёза и внешних причин. Доля смертности от болезней системы кровообращения, новообразований, инфекционных болезней увеличилась. Довольно высокой остаётся доля смертности в трудоспособном возрасте: в 2015 г. – 42%, в 2017 г. – 37%, по предварительным данным в 2018 г. – 48%.</w:t>
      </w:r>
    </w:p>
    <w:p>
      <w:pPr>
        <w:pStyle w:val="Normal"/>
        <w:ind w:firstLine="709"/>
        <w:jc w:val="both"/>
        <w:rPr>
          <w:rFonts w:cs="Times New Roman"/>
          <w:sz w:val="28"/>
          <w:szCs w:val="28"/>
          <w:lang w:val="en-US"/>
        </w:rPr>
      </w:pPr>
      <w:r>
        <w:rPr>
          <w:rFonts w:cs="Times New Roman"/>
          <w:sz w:val="28"/>
          <w:szCs w:val="28"/>
          <w:lang w:val="en-US"/>
        </w:rPr>
      </w:r>
    </w:p>
    <w:p>
      <w:pPr>
        <w:pStyle w:val="Normal"/>
        <w:ind w:firstLine="709"/>
        <w:jc w:val="both"/>
        <w:rPr>
          <w:rFonts w:cs="Times New Roman"/>
          <w:sz w:val="28"/>
          <w:szCs w:val="28"/>
          <w:lang w:val="en-US"/>
        </w:rPr>
      </w:pPr>
      <w:r>
        <w:rPr>
          <w:rFonts w:cs="Times New Roman"/>
          <w:sz w:val="28"/>
          <w:szCs w:val="28"/>
          <w:lang w:val="en-US"/>
        </w:rPr>
      </w:r>
    </w:p>
    <w:p>
      <w:pPr>
        <w:pStyle w:val="Normal"/>
        <w:spacing w:before="120" w:after="120"/>
        <w:ind w:firstLine="709"/>
        <w:jc w:val="center"/>
        <w:rPr>
          <w:b/>
          <w:b/>
          <w:sz w:val="28"/>
        </w:rPr>
      </w:pPr>
      <w:r>
        <w:rPr>
          <w:b/>
          <w:sz w:val="28"/>
        </w:rPr>
        <w:t xml:space="preserve">Таблица </w:t>
      </w:r>
      <w:r>
        <w:rPr>
          <w:b/>
          <w:sz w:val="28"/>
        </w:rPr>
        <w:fldChar w:fldCharType="begin"/>
      </w:r>
      <w:r>
        <w:rPr>
          <w:sz w:val="28"/>
          <w:b/>
        </w:rPr>
        <w:instrText> SEQ Таблица \* ARABIC </w:instrText>
      </w:r>
      <w:r>
        <w:rPr>
          <w:sz w:val="28"/>
          <w:b/>
        </w:rPr>
        <w:fldChar w:fldCharType="separate"/>
      </w:r>
      <w:r>
        <w:rPr>
          <w:sz w:val="28"/>
          <w:b/>
        </w:rPr>
        <w:t>5</w:t>
      </w:r>
      <w:r>
        <w:rPr>
          <w:sz w:val="28"/>
          <w:b/>
        </w:rPr>
        <w:fldChar w:fldCharType="end"/>
      </w:r>
      <w:r>
        <w:rPr>
          <w:b/>
          <w:sz w:val="28"/>
        </w:rPr>
        <w:t xml:space="preserve"> – </w:t>
      </w:r>
      <w:r>
        <w:rPr>
          <w:rFonts w:cs="Times New Roman"/>
          <w:b/>
          <w:sz w:val="28"/>
        </w:rPr>
        <w:t xml:space="preserve">Смертность населения в Тереньгульском районе </w:t>
        <w:br/>
        <w:t>за 2008-2018 гг.</w:t>
      </w:r>
    </w:p>
    <w:tbl>
      <w:tblPr>
        <w:tblW w:w="9711" w:type="dxa"/>
        <w:jc w:val="left"/>
        <w:tblInd w:w="109" w:type="dxa"/>
        <w:tblCellMar>
          <w:top w:w="0" w:type="dxa"/>
          <w:left w:w="103" w:type="dxa"/>
          <w:bottom w:w="0" w:type="dxa"/>
          <w:right w:w="108" w:type="dxa"/>
        </w:tblCellMar>
        <w:tblLook w:noVBand="1" w:val="04a0" w:noHBand="0" w:lastColumn="0" w:firstColumn="1" w:lastRow="0" w:firstRow="1"/>
      </w:tblPr>
      <w:tblGrid>
        <w:gridCol w:w="1843"/>
        <w:gridCol w:w="715"/>
        <w:gridCol w:w="716"/>
        <w:gridCol w:w="717"/>
        <w:gridCol w:w="713"/>
        <w:gridCol w:w="715"/>
        <w:gridCol w:w="715"/>
        <w:gridCol w:w="716"/>
        <w:gridCol w:w="713"/>
        <w:gridCol w:w="715"/>
        <w:gridCol w:w="715"/>
        <w:gridCol w:w="717"/>
      </w:tblGrid>
      <w:tr>
        <w:trPr>
          <w:trHeight w:val="641"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Наименование показателя</w:t>
            </w:r>
          </w:p>
        </w:tc>
        <w:tc>
          <w:tcPr>
            <w:tcW w:w="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2008</w:t>
            </w:r>
          </w:p>
        </w:tc>
        <w:tc>
          <w:tcPr>
            <w:tcW w:w="7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2009</w:t>
            </w:r>
          </w:p>
        </w:tc>
        <w:tc>
          <w:tcPr>
            <w:tcW w:w="7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2010</w:t>
            </w:r>
          </w:p>
        </w:tc>
        <w:tc>
          <w:tcPr>
            <w:tcW w:w="7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2011</w:t>
            </w:r>
          </w:p>
        </w:tc>
        <w:tc>
          <w:tcPr>
            <w:tcW w:w="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2012</w:t>
            </w:r>
          </w:p>
        </w:tc>
        <w:tc>
          <w:tcPr>
            <w:tcW w:w="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2013</w:t>
            </w:r>
          </w:p>
        </w:tc>
        <w:tc>
          <w:tcPr>
            <w:tcW w:w="7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2014</w:t>
            </w:r>
          </w:p>
        </w:tc>
        <w:tc>
          <w:tcPr>
            <w:tcW w:w="7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2015</w:t>
            </w:r>
          </w:p>
        </w:tc>
        <w:tc>
          <w:tcPr>
            <w:tcW w:w="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2016</w:t>
            </w:r>
          </w:p>
        </w:tc>
        <w:tc>
          <w:tcPr>
            <w:tcW w:w="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2017</w:t>
            </w:r>
          </w:p>
        </w:tc>
        <w:tc>
          <w:tcPr>
            <w:tcW w:w="7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0"/>
                <w:szCs w:val="19"/>
                <w:vertAlign w:val="superscript"/>
                <w:lang w:eastAsia="ru-RU"/>
              </w:rPr>
            </w:pPr>
            <w:r>
              <w:rPr>
                <w:rFonts w:cs="Times New Roman"/>
                <w:b/>
                <w:sz w:val="20"/>
                <w:szCs w:val="19"/>
                <w:lang w:eastAsia="ru-RU"/>
              </w:rPr>
              <w:t>2018</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Общая смертность на 100000 нас.</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2016,9</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1838,1</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1713,2</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1791,4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1518,6</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1597,0</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1479,3</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1777,1</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1569,0</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1459,0</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1746,5</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 xml:space="preserve">Смертность от некоторых инфекционных и паразитарных болезней </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9,7</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4,9</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5,3</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16,1</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21,8</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16,7</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39,2</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28,2</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28,5</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41,4</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туберкулеза (все формы)</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10,5</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5,3</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16,7</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16,9</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5,7</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13,8</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новообразований</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244,3</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220,6</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180,9</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172,1</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272,2</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225,8</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272,5</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241,1</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169,3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216,6</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179,5</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В том числе злокачественных</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244,3</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220,6</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180,9</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166,8</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266,7</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214,8</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266,9</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229,8</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169,3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216,6</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172,6</w:t>
            </w:r>
          </w:p>
        </w:tc>
      </w:tr>
      <w:tr>
        <w:trPr>
          <w:trHeight w:val="645"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болезней системы кровообращения</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1263,2</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1113,4</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1101,4</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1167,4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903,5</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1062,8</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761,9</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1037,1</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897,4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832,1</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1063,1</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болезней органов дыхания</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41,6</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105,0</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69,2</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64,4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38,6</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27,8</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33,6</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5,7</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48,3</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болезней системы пищеварения</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119,6</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89,3</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47,9</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75,3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54,4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16,5</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111,2</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56,1</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73,4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68,4</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110,4</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внешних причин</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249,5</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252,1</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250,1</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236,7</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185,1</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181,7</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161,3</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185,0</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124,2</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131,0</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179,5</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Из них от:</w:t>
            </w:r>
          </w:p>
          <w:p>
            <w:pPr>
              <w:pStyle w:val="Normal"/>
              <w:ind w:left="176" w:hanging="0"/>
              <w:rPr>
                <w:rFonts w:cs="Times New Roman"/>
                <w:sz w:val="19"/>
                <w:szCs w:val="19"/>
                <w:lang w:eastAsia="ru-RU"/>
              </w:rPr>
            </w:pPr>
            <w:r>
              <w:rPr>
                <w:rFonts w:cs="Times New Roman"/>
                <w:sz w:val="19"/>
                <w:szCs w:val="19"/>
                <w:lang w:eastAsia="ru-RU"/>
              </w:rPr>
              <w:t xml:space="preserve">- транспортных травм </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26,0</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26,3</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42,6</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32,3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21,8</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33,0</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11,1</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16,8,</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22,8</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20,7</w:t>
            </w:r>
          </w:p>
        </w:tc>
      </w:tr>
      <w:tr>
        <w:trPr>
          <w:trHeight w:val="6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в т.ч  ДТП</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10,4</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15,8</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26,6</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16,1</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27,5</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16,8</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11,3</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13,8</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 отравлений алкоголем</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21,5</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16,8</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17,1</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6,9</w:t>
            </w:r>
          </w:p>
        </w:tc>
      </w:tr>
      <w:tr>
        <w:trPr>
          <w:trHeight w:val="6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 самоубийств</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52,0</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36,8</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53,2</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21,5</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27,2</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5,5</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22,8</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20,7</w:t>
            </w:r>
          </w:p>
        </w:tc>
      </w:tr>
      <w:tr>
        <w:trPr>
          <w:trHeight w:val="60" w:hRule="atLeast"/>
        </w:trPr>
        <w:tc>
          <w:tcPr>
            <w:tcW w:w="184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 убийств</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31,5</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5,4</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16,3</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5,7</w:t>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r>
    </w:tbl>
    <w:p>
      <w:pPr>
        <w:pStyle w:val="Normal"/>
        <w:ind w:firstLine="709"/>
        <w:jc w:val="both"/>
        <w:rPr>
          <w:rFonts w:cs="Times New Roman"/>
          <w:sz w:val="28"/>
          <w:szCs w:val="28"/>
        </w:rPr>
      </w:pPr>
      <w:r>
        <w:rPr>
          <w:rFonts w:cs="Times New Roman"/>
          <w:sz w:val="28"/>
          <w:szCs w:val="28"/>
        </w:rPr>
      </w:r>
    </w:p>
    <w:tbl>
      <w:tblPr>
        <w:tblStyle w:val="af1"/>
        <w:tblW w:w="11458" w:type="dxa"/>
        <w:jc w:val="left"/>
        <w:tblInd w:w="-601" w:type="dxa"/>
        <w:tblCellMar>
          <w:top w:w="0" w:type="dxa"/>
          <w:left w:w="108" w:type="dxa"/>
          <w:bottom w:w="0" w:type="dxa"/>
          <w:right w:w="108" w:type="dxa"/>
        </w:tblCellMar>
        <w:tblLook w:noVBand="1" w:val="04a0" w:noHBand="0" w:lastColumn="0" w:firstColumn="1" w:lastRow="0" w:firstRow="1"/>
      </w:tblPr>
      <w:tblGrid>
        <w:gridCol w:w="5529"/>
        <w:gridCol w:w="5928"/>
      </w:tblGrid>
      <w:tr>
        <w:trPr/>
        <w:tc>
          <w:tcPr>
            <w:tcW w:w="5529" w:type="dxa"/>
            <w:tcBorders>
              <w:top w:val="nil"/>
              <w:left w:val="nil"/>
              <w:bottom w:val="nil"/>
              <w:right w:val="nil"/>
            </w:tcBorders>
            <w:shd w:fill="auto" w:val="clear"/>
          </w:tcPr>
          <w:p>
            <w:pPr>
              <w:pStyle w:val="Normal"/>
              <w:keepNext w:val="true"/>
              <w:spacing w:lineRule="auto" w:line="240" w:before="0" w:after="0"/>
              <w:ind w:left="317" w:right="388" w:hanging="0"/>
              <w:jc w:val="both"/>
              <w:rPr/>
            </w:pPr>
            <w:r>
              <w:rPr/>
              <w:drawing>
                <wp:inline distT="0" distB="0" distL="0" distR="0">
                  <wp:extent cx="3395345" cy="2289810"/>
                  <wp:effectExtent l="0" t="0" r="0" b="0"/>
                  <wp:docPr id="1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Caption"/>
              <w:spacing w:lineRule="auto" w:line="240" w:before="0" w:after="0"/>
              <w:jc w:val="both"/>
              <w:rPr>
                <w:rFonts w:cs="Times New Roman"/>
                <w:sz w:val="28"/>
                <w:szCs w:val="28"/>
              </w:rPr>
            </w:pPr>
            <w:r>
              <w:rPr>
                <w:rFonts w:cs="Times New Roman"/>
                <w:sz w:val="28"/>
                <w:szCs w:val="28"/>
              </w:rPr>
            </w:r>
          </w:p>
        </w:tc>
        <w:tc>
          <w:tcPr>
            <w:tcW w:w="5928" w:type="dxa"/>
            <w:tcBorders>
              <w:top w:val="nil"/>
              <w:left w:val="nil"/>
              <w:bottom w:val="nil"/>
              <w:right w:val="nil"/>
            </w:tcBorders>
            <w:shd w:fill="auto" w:val="clear"/>
          </w:tcPr>
          <w:p>
            <w:pPr>
              <w:pStyle w:val="Normal"/>
              <w:spacing w:lineRule="auto" w:line="240" w:before="0" w:after="0"/>
              <w:ind w:left="-287" w:hanging="0"/>
              <w:jc w:val="both"/>
              <w:rPr>
                <w:rFonts w:cs="Times New Roman"/>
                <w:sz w:val="28"/>
                <w:szCs w:val="28"/>
              </w:rPr>
            </w:pPr>
            <w:r>
              <w:rPr/>
              <w:drawing>
                <wp:inline distT="0" distB="0" distL="0" distR="0">
                  <wp:extent cx="2997835" cy="2289810"/>
                  <wp:effectExtent l="0" t="0" r="0" b="0"/>
                  <wp:docPr id="1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11</w:t>
      </w:r>
      <w:r>
        <w:rPr>
          <w:sz w:val="28"/>
          <w:szCs w:val="28"/>
        </w:rPr>
        <w:fldChar w:fldCharType="end"/>
      </w:r>
      <w:r>
        <w:rPr>
          <w:color w:val="auto"/>
          <w:sz w:val="28"/>
          <w:szCs w:val="28"/>
        </w:rPr>
        <w:t xml:space="preserve"> – Структура причин смертности населения </w:t>
        <w:br/>
        <w:t>в Тереньгульском районе в 2008 и 2017 гг.</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b/>
          <w:b/>
        </w:rPr>
      </w:pPr>
      <w:r>
        <w:rPr>
          <w:rFonts w:cs="Times New Roman"/>
          <w:sz w:val="28"/>
          <w:szCs w:val="28"/>
        </w:rPr>
        <w:t>В 2017 г. случаев смерти детей до 1 года в Тереньгульском районе не зафиксировано.</w:t>
      </w:r>
      <w:r>
        <w:rPr>
          <w:rFonts w:cs="Times New Roman"/>
          <w:b/>
        </w:rPr>
        <w:t xml:space="preserve"> </w:t>
      </w:r>
    </w:p>
    <w:p>
      <w:pPr>
        <w:pStyle w:val="Normal"/>
        <w:ind w:firstLine="709"/>
        <w:jc w:val="both"/>
        <w:rPr>
          <w:rFonts w:cs="Times New Roman"/>
          <w:sz w:val="28"/>
          <w:szCs w:val="28"/>
        </w:rPr>
      </w:pPr>
      <w:r>
        <w:rPr>
          <w:rFonts w:cs="Times New Roman"/>
          <w:sz w:val="28"/>
          <w:szCs w:val="28"/>
        </w:rPr>
        <w:t>По ожидаемой продолжительности жизни прослеживается положительная динамика: в 2016 г. – 70,6 лет, в 2018 г. – 72 года, планируемый показатель к 2021 г. – 73,5 лет.</w:t>
      </w:r>
    </w:p>
    <w:p>
      <w:pPr>
        <w:pStyle w:val="Normal"/>
        <w:ind w:firstLine="709"/>
        <w:jc w:val="both"/>
        <w:rPr>
          <w:rFonts w:cs="Times New Roman"/>
          <w:sz w:val="28"/>
          <w:szCs w:val="28"/>
        </w:rPr>
      </w:pPr>
      <w:r>
        <w:rPr>
          <w:rFonts w:cs="Times New Roman"/>
          <w:sz w:val="28"/>
          <w:szCs w:val="28"/>
        </w:rPr>
        <w:t>Помимо естественной убыли населения, в Тереньгульском районе наблюдается и миграционный отток населения. В 2015-2016 гг. удалось исправить данную ситуацию, в 2016 г. был отмечен миграционный прирост населения (+15 человек)</w:t>
      </w:r>
      <w:r>
        <w:rPr/>
        <w:t xml:space="preserve"> </w:t>
      </w:r>
      <w:r>
        <w:rPr>
          <w:rFonts w:cs="Times New Roman"/>
          <w:sz w:val="28"/>
          <w:szCs w:val="28"/>
        </w:rPr>
        <w:t>за счёт массового приезда граждан Украины, что давало району определённые конкурентные преимущества.</w:t>
      </w:r>
    </w:p>
    <w:p>
      <w:pPr>
        <w:pStyle w:val="Normal"/>
        <w:keepNext w:val="true"/>
        <w:jc w:val="center"/>
        <w:rPr/>
      </w:pPr>
      <w:r>
        <w:rPr/>
        <w:drawing>
          <wp:inline distT="0" distB="0" distL="0" distR="0">
            <wp:extent cx="6058535" cy="2488565"/>
            <wp:effectExtent l="0" t="0" r="0" b="0"/>
            <wp:docPr id="1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12</w:t>
      </w:r>
      <w:r>
        <w:rPr>
          <w:sz w:val="28"/>
          <w:szCs w:val="28"/>
        </w:rPr>
        <w:fldChar w:fldCharType="end"/>
      </w:r>
      <w:r>
        <w:rPr>
          <w:color w:val="auto"/>
          <w:sz w:val="28"/>
          <w:szCs w:val="28"/>
        </w:rPr>
        <w:t xml:space="preserve"> - Миграционная убыль населения в Тереньгульском районе </w:t>
        <w:br/>
        <w:t>за 2008-2017 гг., чел.</w:t>
      </w:r>
    </w:p>
    <w:p>
      <w:pPr>
        <w:pStyle w:val="Normal"/>
        <w:rPr>
          <w:sz w:val="28"/>
          <w:szCs w:val="28"/>
        </w:rPr>
      </w:pPr>
      <w:r>
        <w:rPr>
          <w:sz w:val="28"/>
          <w:szCs w:val="28"/>
        </w:rPr>
      </w:r>
    </w:p>
    <w:p>
      <w:pPr>
        <w:pStyle w:val="Normal"/>
        <w:ind w:firstLine="709"/>
        <w:jc w:val="both"/>
        <w:rPr>
          <w:rFonts w:cs="Times New Roman"/>
          <w:sz w:val="28"/>
          <w:szCs w:val="28"/>
        </w:rPr>
      </w:pPr>
      <w:r>
        <w:rPr>
          <w:rFonts w:cs="Times New Roman"/>
          <w:sz w:val="28"/>
          <w:szCs w:val="28"/>
        </w:rPr>
        <w:t>В 2017 г. коэффициент миграционный убыли резко вырос до максимального значения за 10 лет, что откинуло район со 2 на 16 позицию по данному показателю.</w:t>
      </w:r>
    </w:p>
    <w:p>
      <w:pPr>
        <w:pStyle w:val="Normal"/>
        <w:ind w:firstLine="709"/>
        <w:jc w:val="both"/>
        <w:rPr>
          <w:rFonts w:cs="Times New Roman"/>
          <w:sz w:val="28"/>
          <w:szCs w:val="28"/>
        </w:rPr>
      </w:pPr>
      <w:r>
        <w:rPr>
          <w:rFonts w:cs="Times New Roman"/>
          <w:sz w:val="28"/>
          <w:szCs w:val="28"/>
        </w:rPr>
        <w:t xml:space="preserve">Одной из действенных мер по привлечению трудовых ресурсов является программа «Оказание содействия добровольному переселению в Ульяновскую область соотечественников, проживающих за рубежом». С 2014 по 2018 гг. </w:t>
        <w:br/>
        <w:t>в рамках реализации программы на территории Тереньгульского района въехало 48 человек.</w:t>
      </w:r>
    </w:p>
    <w:p>
      <w:pPr>
        <w:pStyle w:val="Normal"/>
        <w:jc w:val="center"/>
        <w:rPr>
          <w:rFonts w:cs="Times New Roman"/>
          <w:sz w:val="28"/>
          <w:szCs w:val="28"/>
        </w:rPr>
      </w:pPr>
      <w:r>
        <w:rPr/>
        <w:drawing>
          <wp:inline distT="0" distB="0" distL="0" distR="0">
            <wp:extent cx="5450205" cy="1846580"/>
            <wp:effectExtent l="0" t="0" r="0" b="0"/>
            <wp:docPr id="1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Caption"/>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13</w:t>
      </w:r>
      <w:r>
        <w:rPr>
          <w:sz w:val="28"/>
          <w:szCs w:val="28"/>
        </w:rPr>
        <w:fldChar w:fldCharType="end"/>
      </w:r>
      <w:r>
        <w:rPr>
          <w:color w:val="auto"/>
          <w:sz w:val="28"/>
          <w:szCs w:val="28"/>
        </w:rPr>
        <w:t xml:space="preserve"> - Коэффициент миграционного прироста убыли </w:t>
        <w:br/>
        <w:t>(на 1000 населения) в Тереньгульском районе за 2008-2017 гг.</w:t>
      </w:r>
    </w:p>
    <w:p>
      <w:pPr>
        <w:pStyle w:val="Normal"/>
        <w:spacing w:before="120" w:after="120"/>
        <w:ind w:firstLine="709"/>
        <w:jc w:val="center"/>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6</w:t>
      </w:r>
      <w:r>
        <w:rPr>
          <w:sz w:val="28"/>
          <w:b/>
          <w:szCs w:val="28"/>
        </w:rPr>
        <w:fldChar w:fldCharType="end"/>
      </w:r>
      <w:r>
        <w:rPr>
          <w:b/>
          <w:sz w:val="28"/>
          <w:szCs w:val="28"/>
        </w:rPr>
        <w:t xml:space="preserve"> - </w:t>
      </w:r>
      <w:r>
        <w:rPr>
          <w:rFonts w:cs="Times New Roman"/>
          <w:b/>
          <w:sz w:val="28"/>
          <w:szCs w:val="28"/>
        </w:rPr>
        <w:t xml:space="preserve">Динамика демографических показателей </w:t>
        <w:br/>
        <w:t>в Тереньгульском районе за 2008-2018 гг.</w:t>
      </w:r>
    </w:p>
    <w:tbl>
      <w:tblPr>
        <w:tblStyle w:val="af1"/>
        <w:tblpPr w:bottomFromText="0" w:horzAnchor="margin" w:leftFromText="181" w:rightFromText="181" w:tblpX="0" w:tblpY="1" w:topFromText="0" w:vertAnchor="text"/>
        <w:tblW w:w="9581" w:type="dxa"/>
        <w:jc w:val="left"/>
        <w:tblInd w:w="103" w:type="dxa"/>
        <w:tblCellMar>
          <w:top w:w="0" w:type="dxa"/>
          <w:left w:w="103" w:type="dxa"/>
          <w:bottom w:w="0" w:type="dxa"/>
          <w:right w:w="108" w:type="dxa"/>
        </w:tblCellMar>
        <w:tblLook w:noVBand="1" w:val="04a0" w:noHBand="0" w:lastColumn="0" w:firstColumn="1" w:lastRow="0" w:firstRow="1"/>
      </w:tblPr>
      <w:tblGrid>
        <w:gridCol w:w="2800"/>
        <w:gridCol w:w="616"/>
        <w:gridCol w:w="617"/>
        <w:gridCol w:w="616"/>
        <w:gridCol w:w="616"/>
        <w:gridCol w:w="616"/>
        <w:gridCol w:w="616"/>
        <w:gridCol w:w="616"/>
        <w:gridCol w:w="616"/>
        <w:gridCol w:w="617"/>
        <w:gridCol w:w="617"/>
        <w:gridCol w:w="617"/>
      </w:tblGrid>
      <w:tr>
        <w:trPr/>
        <w:tc>
          <w:tcPr>
            <w:tcW w:w="2800" w:type="dxa"/>
            <w:tcBorders/>
            <w:shd w:fill="auto" w:val="clear"/>
          </w:tcPr>
          <w:p>
            <w:pPr>
              <w:pStyle w:val="Normal"/>
              <w:spacing w:lineRule="auto" w:line="230" w:before="0" w:after="0"/>
              <w:jc w:val="center"/>
              <w:rPr>
                <w:rFonts w:cs="Times New Roman"/>
                <w:b/>
                <w:b/>
                <w:sz w:val="20"/>
                <w:szCs w:val="20"/>
              </w:rPr>
            </w:pPr>
            <w:r>
              <w:rPr>
                <w:rFonts w:cs="Times New Roman"/>
                <w:b/>
                <w:sz w:val="19"/>
                <w:szCs w:val="19"/>
                <w:lang w:eastAsia="ru-RU"/>
              </w:rPr>
              <w:t>Наименование показателя</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2008</w:t>
            </w:r>
          </w:p>
        </w:tc>
        <w:tc>
          <w:tcPr>
            <w:tcW w:w="617"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2009</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2010</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2011</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2012</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2013</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2014</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2015</w:t>
            </w:r>
          </w:p>
        </w:tc>
        <w:tc>
          <w:tcPr>
            <w:tcW w:w="617"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2016</w:t>
            </w:r>
          </w:p>
        </w:tc>
        <w:tc>
          <w:tcPr>
            <w:tcW w:w="617"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2017</w:t>
            </w:r>
          </w:p>
        </w:tc>
        <w:tc>
          <w:tcPr>
            <w:tcW w:w="617"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2018</w:t>
            </w:r>
          </w:p>
        </w:tc>
      </w:tr>
      <w:tr>
        <w:trPr>
          <w:trHeight w:val="315"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Численность населения всего, тыс. чел., в т.ч.:</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19,3</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19,1</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19,0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18,7</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18,5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18,3</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18,0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17,9</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17,8</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17,7</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17,4</w:t>
            </w:r>
          </w:p>
        </w:tc>
      </w:tr>
      <w:tr>
        <w:trPr>
          <w:trHeight w:val="20" w:hRule="atLeast"/>
        </w:trPr>
        <w:tc>
          <w:tcPr>
            <w:tcW w:w="2800" w:type="dxa"/>
            <w:tcBorders/>
            <w:shd w:fill="auto" w:val="clear"/>
          </w:tcPr>
          <w:p>
            <w:pPr>
              <w:pStyle w:val="Normal"/>
              <w:spacing w:lineRule="auto" w:line="230" w:before="0" w:after="0"/>
              <w:ind w:left="284" w:hanging="0"/>
              <w:rPr>
                <w:rFonts w:cs="Times New Roman"/>
                <w:sz w:val="20"/>
                <w:szCs w:val="20"/>
              </w:rPr>
            </w:pPr>
            <w:r>
              <w:rPr>
                <w:rFonts w:cs="Times New Roman"/>
                <w:sz w:val="20"/>
                <w:szCs w:val="20"/>
              </w:rPr>
              <w:t>моложе трудоспособного возраста,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15,8</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15,8</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15,1</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15,4</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15,6</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15,7</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15,7</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15,6</w:t>
            </w:r>
          </w:p>
        </w:tc>
      </w:tr>
      <w:tr>
        <w:trPr>
          <w:trHeight w:val="20" w:hRule="atLeast"/>
        </w:trPr>
        <w:tc>
          <w:tcPr>
            <w:tcW w:w="2800" w:type="dxa"/>
            <w:tcBorders/>
            <w:shd w:fill="auto" w:val="clear"/>
          </w:tcPr>
          <w:p>
            <w:pPr>
              <w:pStyle w:val="Normal"/>
              <w:spacing w:lineRule="auto" w:line="230" w:before="0" w:after="0"/>
              <w:ind w:left="284" w:hanging="0"/>
              <w:rPr>
                <w:rFonts w:cs="Times New Roman"/>
                <w:sz w:val="20"/>
                <w:szCs w:val="20"/>
              </w:rPr>
            </w:pPr>
            <w:r>
              <w:rPr>
                <w:rFonts w:cs="Times New Roman"/>
                <w:sz w:val="20"/>
                <w:szCs w:val="20"/>
              </w:rPr>
              <w:t>в трудоспособном возрасте,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57,9</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58,0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58,5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59,0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56,9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56,3</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55,4</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53,7</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52,9</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51,8</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50,4</w:t>
            </w:r>
          </w:p>
        </w:tc>
      </w:tr>
      <w:tr>
        <w:trPr>
          <w:trHeight w:val="20" w:hRule="atLeast"/>
        </w:trPr>
        <w:tc>
          <w:tcPr>
            <w:tcW w:w="2800" w:type="dxa"/>
            <w:tcBorders/>
            <w:shd w:fill="auto" w:val="clear"/>
          </w:tcPr>
          <w:p>
            <w:pPr>
              <w:pStyle w:val="Normal"/>
              <w:spacing w:lineRule="auto" w:line="230" w:before="0" w:after="0"/>
              <w:ind w:left="284" w:hanging="0"/>
              <w:rPr>
                <w:rFonts w:cs="Times New Roman"/>
                <w:sz w:val="20"/>
                <w:szCs w:val="20"/>
              </w:rPr>
            </w:pPr>
            <w:r>
              <w:rPr>
                <w:rFonts w:cs="Times New Roman"/>
                <w:sz w:val="20"/>
                <w:szCs w:val="20"/>
              </w:rPr>
              <w:t>старше трудоспособного возраста,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26,3</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26,2</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25,6</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25,9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27,6</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28,3</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29,1</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30,7</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31,4</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32,5</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34,0</w:t>
            </w:r>
          </w:p>
        </w:tc>
      </w:tr>
      <w:tr>
        <w:trPr>
          <w:trHeight w:val="6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Число родившихся, чел.</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228</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215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214</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204</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200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210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212</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174</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166</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147</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 xml:space="preserve">Число умерших, чел.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388</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349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322</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333</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279</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290</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266</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317</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278</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256</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 xml:space="preserve">Естественный прирост (убыль) населения, чел.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-160</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-134</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-108</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-129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-79</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-80</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-54</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-143</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-112</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-109</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Коэффициент рождаемости на 1000 населения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11,9</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11,3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11,4</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11,0</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10,9</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11,6</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11,8</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9,8</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9,4</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8,4</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Коэффициент смертности на 1000 населения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20,2</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18,4</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17,1</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17,9</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15,2</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16,0</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14,8</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17,8</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15,7</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14,6</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Коэффициент естественного прироста (убыли) населения на 1000 населения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-8,3</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-7,1</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-5,7</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-6,9</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-4,3</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-4,4</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-3,0</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-8,0</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-6,3</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-6,2</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Смертность детей в возрасте до 1 года, чел.</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2</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2</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Коэффициент смертности детей до 1 года (на 1000 родившихся)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8,8</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9,0</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14,0</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14,5</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5,0</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9,5</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9,4</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17,2</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6,0</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Число прибывших, чел.</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299</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230</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233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407</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487</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472</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551</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656</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645</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514</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Число выбывших, чел.</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332</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296</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318</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503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616</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609</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637</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658</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630</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651</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Миграционный прирост (убыль), чел.</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-33</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-66</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-85</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-96</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-129</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-137</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-86</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15</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-137</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800" w:type="dxa"/>
            <w:tcBorders/>
            <w:shd w:fill="auto" w:val="clear"/>
          </w:tcPr>
          <w:p>
            <w:pPr>
              <w:pStyle w:val="Normal"/>
              <w:spacing w:lineRule="auto" w:line="230" w:before="0" w:after="0"/>
              <w:rPr>
                <w:rFonts w:cs="Times New Roman"/>
                <w:sz w:val="20"/>
                <w:szCs w:val="20"/>
              </w:rPr>
            </w:pPr>
            <w:r>
              <w:rPr>
                <w:rFonts w:cs="Times New Roman"/>
                <w:sz w:val="20"/>
                <w:szCs w:val="20"/>
              </w:rPr>
              <w:t>Коэффициент миграционного прироста (убыли) на 1000 населения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-1,7</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-3,5</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-4,5</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-5,2</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-7,0</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-7,5</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-4,8</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-0,1</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0,9</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-7,8</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bl>
    <w:p>
      <w:pPr>
        <w:pStyle w:val="32"/>
        <w:rPr>
          <w:lang w:val="en-US"/>
        </w:rPr>
      </w:pPr>
      <w:r>
        <w:rPr>
          <w:lang w:val="en-US"/>
        </w:rPr>
      </w:r>
    </w:p>
    <w:p>
      <w:pPr>
        <w:pStyle w:val="32"/>
        <w:rPr/>
      </w:pPr>
      <w:r>
        <w:rPr/>
        <w:t>1.5.2. Рынок труда и уровень жизни населения</w:t>
      </w:r>
    </w:p>
    <w:p>
      <w:pPr>
        <w:pStyle w:val="ListParagraph"/>
        <w:ind w:left="0" w:firstLine="709"/>
        <w:jc w:val="both"/>
        <w:rPr>
          <w:rFonts w:cs="Times New Roman"/>
          <w:sz w:val="28"/>
          <w:szCs w:val="28"/>
        </w:rPr>
      </w:pPr>
      <w:r>
        <w:rPr>
          <w:rFonts w:cs="Times New Roman"/>
          <w:sz w:val="28"/>
          <w:szCs w:val="28"/>
        </w:rPr>
        <w:t xml:space="preserve">Ситуация на рынке труда в Тереньгульском районе характеризуется относительно низким показателем уровня регистрируемой безработицы – 0,41%, ниже областного показателя (0,47%) по итогам 2017 г. </w:t>
      </w:r>
    </w:p>
    <w:p>
      <w:pPr>
        <w:pStyle w:val="ListParagraph"/>
        <w:keepNext w:val="true"/>
        <w:ind w:left="0" w:hanging="0"/>
        <w:jc w:val="center"/>
        <w:rPr/>
      </w:pPr>
      <w:r>
        <w:rPr/>
        <w:drawing>
          <wp:inline distT="0" distB="0" distL="0" distR="0">
            <wp:extent cx="5971540" cy="2250440"/>
            <wp:effectExtent l="0" t="0" r="0" b="0"/>
            <wp:docPr id="1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Caption"/>
        <w:spacing w:before="0" w:after="0"/>
        <w:jc w:val="center"/>
        <w:rPr>
          <w:rFonts w:cs="Times New Roman"/>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14</w:t>
      </w:r>
      <w:r>
        <w:rPr>
          <w:sz w:val="28"/>
          <w:szCs w:val="28"/>
        </w:rPr>
        <w:fldChar w:fldCharType="end"/>
      </w:r>
      <w:r>
        <w:rPr>
          <w:color w:val="auto"/>
          <w:sz w:val="28"/>
          <w:szCs w:val="28"/>
        </w:rPr>
        <w:t xml:space="preserve"> - Уровень регистрируемой безработицы в Тереньгульском районе за 2008-2017 гг., %</w:t>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На 01.01.2019 г. численность безработных граждан составила 28 человек, количество вакансий – 723 ед., уровень регистрируемой безработицы – 0,34%, в том числе:</w:t>
      </w:r>
    </w:p>
    <w:p>
      <w:pPr>
        <w:pStyle w:val="ListParagraph"/>
        <w:ind w:left="0" w:firstLine="709"/>
        <w:jc w:val="both"/>
        <w:rPr>
          <w:rFonts w:cs="Times New Roman"/>
          <w:sz w:val="28"/>
          <w:szCs w:val="28"/>
        </w:rPr>
      </w:pPr>
      <w:r>
        <w:rPr>
          <w:rFonts w:cs="Times New Roman"/>
          <w:sz w:val="28"/>
          <w:szCs w:val="28"/>
        </w:rPr>
        <w:t>в Тереньгульском городском поселении – 0,44%;</w:t>
      </w:r>
    </w:p>
    <w:p>
      <w:pPr>
        <w:pStyle w:val="ListParagraph"/>
        <w:ind w:left="0" w:firstLine="709"/>
        <w:jc w:val="both"/>
        <w:rPr>
          <w:rFonts w:cs="Times New Roman"/>
          <w:sz w:val="28"/>
          <w:szCs w:val="28"/>
        </w:rPr>
      </w:pPr>
      <w:r>
        <w:rPr>
          <w:rFonts w:cs="Times New Roman"/>
          <w:sz w:val="28"/>
          <w:szCs w:val="28"/>
        </w:rPr>
        <w:t>Михайловском сельском поселении – 0,32%,;</w:t>
      </w:r>
    </w:p>
    <w:p>
      <w:pPr>
        <w:pStyle w:val="ListParagraph"/>
        <w:ind w:left="0" w:firstLine="709"/>
        <w:jc w:val="both"/>
        <w:rPr>
          <w:rFonts w:cs="Times New Roman"/>
          <w:sz w:val="28"/>
          <w:szCs w:val="28"/>
        </w:rPr>
      </w:pPr>
      <w:r>
        <w:rPr>
          <w:rFonts w:cs="Times New Roman"/>
          <w:sz w:val="28"/>
          <w:szCs w:val="28"/>
        </w:rPr>
        <w:t>Красноборском сельском поселении – 0,26%;</w:t>
      </w:r>
    </w:p>
    <w:p>
      <w:pPr>
        <w:pStyle w:val="ListParagraph"/>
        <w:ind w:left="0" w:firstLine="709"/>
        <w:jc w:val="both"/>
        <w:rPr>
          <w:rFonts w:cs="Times New Roman"/>
          <w:sz w:val="28"/>
          <w:szCs w:val="28"/>
        </w:rPr>
      </w:pPr>
      <w:r>
        <w:rPr>
          <w:rFonts w:cs="Times New Roman"/>
          <w:sz w:val="28"/>
          <w:szCs w:val="28"/>
        </w:rPr>
        <w:t>Белогорском сельском поселении – 0,24%;</w:t>
      </w:r>
    </w:p>
    <w:p>
      <w:pPr>
        <w:pStyle w:val="ListParagraph"/>
        <w:ind w:left="0" w:firstLine="709"/>
        <w:jc w:val="both"/>
        <w:rPr>
          <w:rFonts w:cs="Times New Roman"/>
          <w:sz w:val="28"/>
          <w:szCs w:val="28"/>
        </w:rPr>
      </w:pPr>
      <w:r>
        <w:rPr>
          <w:rFonts w:cs="Times New Roman"/>
          <w:sz w:val="28"/>
          <w:szCs w:val="28"/>
        </w:rPr>
        <w:t>Ясашноташлинском сельском поселении – 0,17%;</w:t>
      </w:r>
    </w:p>
    <w:p>
      <w:pPr>
        <w:pStyle w:val="ListParagraph"/>
        <w:ind w:left="0" w:firstLine="709"/>
        <w:jc w:val="both"/>
        <w:rPr>
          <w:rFonts w:cs="Times New Roman"/>
          <w:sz w:val="28"/>
          <w:szCs w:val="28"/>
        </w:rPr>
      </w:pPr>
      <w:r>
        <w:rPr>
          <w:rFonts w:cs="Times New Roman"/>
          <w:sz w:val="28"/>
          <w:szCs w:val="28"/>
        </w:rPr>
        <w:t>Подкуровском сельском поселении – 0,16%.</w:t>
      </w:r>
    </w:p>
    <w:p>
      <w:pPr>
        <w:pStyle w:val="ListParagraph"/>
        <w:keepNext w:val="true"/>
        <w:ind w:left="0" w:hanging="0"/>
        <w:jc w:val="center"/>
        <w:rPr/>
      </w:pPr>
      <w:r>
        <w:rPr/>
        <w:drawing>
          <wp:inline distT="0" distB="0" distL="0" distR="0">
            <wp:extent cx="5486400" cy="3088005"/>
            <wp:effectExtent l="0" t="0" r="0" b="0"/>
            <wp:docPr id="1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15</w:t>
      </w:r>
      <w:r>
        <w:rPr>
          <w:sz w:val="28"/>
          <w:szCs w:val="28"/>
        </w:rPr>
        <w:fldChar w:fldCharType="end"/>
      </w:r>
      <w:r>
        <w:rPr>
          <w:color w:val="auto"/>
          <w:sz w:val="28"/>
          <w:szCs w:val="28"/>
        </w:rPr>
        <w:t xml:space="preserve"> - Напряжённость на рынке труда в Тереньгульском районе </w:t>
        <w:br/>
        <w:t>за 2008-2017 гг.</w:t>
      </w:r>
    </w:p>
    <w:p>
      <w:pPr>
        <w:pStyle w:val="Normal"/>
        <w:rPr/>
      </w:pPr>
      <w:r>
        <w:rPr/>
      </w:r>
    </w:p>
    <w:p>
      <w:pPr>
        <w:pStyle w:val="ListParagraph"/>
        <w:ind w:left="0" w:firstLine="709"/>
        <w:jc w:val="both"/>
        <w:rPr>
          <w:rFonts w:cs="Times New Roman"/>
          <w:sz w:val="28"/>
          <w:szCs w:val="28"/>
        </w:rPr>
      </w:pPr>
      <w:r>
        <w:rPr>
          <w:rFonts w:cs="Times New Roman"/>
          <w:sz w:val="28"/>
          <w:szCs w:val="28"/>
        </w:rPr>
        <w:t xml:space="preserve">Пик высвобождений работников пришёлся на 2009-2011 кризисные годы. Тот период характеризовался наибольшей напряжённостью на рынке труда. Преимущественно высвобождение затрагивает работников бюджетной сферы: в 2009 г. МУЗ Тереньгульская ЦРБ – 24 человека, управление департамента социальной защиты населения Ульяновской области по Тереньгульскому району – 24 человека, в 2010-2011 гг. – ОГУП «Тереньгульский лесхоз» – 100 человек, военная часть 40035 – 33 человека, в 2015 – 2016 гг. – ООО «Зерновая компания «Поволжье» – 71 человек, в 2017 г. – ФГУСХП «Ульяновское» ФСИН России – 24 человека, в 2018 г. – ГУЗ «Тереньгульская районная больница» – 23 человека. </w:t>
      </w:r>
    </w:p>
    <w:p>
      <w:pPr>
        <w:pStyle w:val="ListParagraph"/>
        <w:ind w:left="0" w:firstLine="709"/>
        <w:jc w:val="both"/>
        <w:rPr>
          <w:rFonts w:cs="Times New Roman"/>
          <w:sz w:val="28"/>
          <w:szCs w:val="28"/>
        </w:rPr>
      </w:pPr>
      <w:r>
        <w:rPr>
          <w:rFonts w:cs="Times New Roman"/>
          <w:sz w:val="28"/>
          <w:szCs w:val="28"/>
        </w:rPr>
        <w:t>За 10 лет среднесписочная численность работников сократилась на 700 человек. Уровень регистрируемой безработицы снизился в 4 раза. Количество созданных рабочих мест превосходит численность высвобождаемых работников. В 2016-2018 гг. на территории Тереньгульского района создано 866 новых рабочих мест, в том числе 191 высокопроизводительное рабочее место (22,1%) на таких предприятиях, как ООО «Рос-Бекон», ООО «Лукьяновский ГОК» с уровнем оплаты труда от 15,5 тыс. до 45 тыс. руб.</w:t>
      </w:r>
    </w:p>
    <w:p>
      <w:pPr>
        <w:pStyle w:val="ListParagraph"/>
        <w:spacing w:before="120" w:after="120"/>
        <w:ind w:left="0" w:hanging="0"/>
        <w:contextualSpacing/>
        <w:jc w:val="center"/>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7</w:t>
      </w:r>
      <w:r>
        <w:rPr>
          <w:sz w:val="28"/>
          <w:b/>
          <w:szCs w:val="28"/>
        </w:rPr>
        <w:fldChar w:fldCharType="end"/>
      </w:r>
      <w:r>
        <w:rPr>
          <w:b/>
          <w:sz w:val="28"/>
          <w:szCs w:val="28"/>
        </w:rPr>
        <w:t xml:space="preserve"> - </w:t>
      </w:r>
      <w:r>
        <w:rPr>
          <w:rFonts w:cs="Times New Roman"/>
          <w:b/>
          <w:sz w:val="28"/>
          <w:szCs w:val="28"/>
        </w:rPr>
        <w:t xml:space="preserve">Динамика показателей рынка труда </w:t>
        <w:br/>
        <w:t>в Тереньгульском районе за 2008-2017 гг.</w:t>
      </w:r>
    </w:p>
    <w:tbl>
      <w:tblPr>
        <w:tblStyle w:val="af1"/>
        <w:tblW w:w="5000" w:type="pct"/>
        <w:jc w:val="left"/>
        <w:tblInd w:w="0" w:type="dxa"/>
        <w:tblCellMar>
          <w:top w:w="0" w:type="dxa"/>
          <w:left w:w="108" w:type="dxa"/>
          <w:bottom w:w="0" w:type="dxa"/>
          <w:right w:w="108" w:type="dxa"/>
        </w:tblCellMar>
        <w:tblLook w:noVBand="1" w:val="04a0" w:noHBand="0" w:lastColumn="0" w:firstColumn="1" w:lastRow="0" w:firstRow="1"/>
      </w:tblPr>
      <w:tblGrid>
        <w:gridCol w:w="2741"/>
        <w:gridCol w:w="693"/>
        <w:gridCol w:w="694"/>
        <w:gridCol w:w="694"/>
        <w:gridCol w:w="693"/>
        <w:gridCol w:w="694"/>
        <w:gridCol w:w="696"/>
        <w:gridCol w:w="694"/>
        <w:gridCol w:w="695"/>
        <w:gridCol w:w="645"/>
        <w:gridCol w:w="697"/>
      </w:tblGrid>
      <w:tr>
        <w:trPr/>
        <w:tc>
          <w:tcPr>
            <w:tcW w:w="2741"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b/>
                <w:sz w:val="22"/>
                <w:szCs w:val="22"/>
                <w:lang w:eastAsia="ru-RU"/>
              </w:rPr>
              <w:t>Наименование показателя</w:t>
            </w:r>
          </w:p>
        </w:tc>
        <w:tc>
          <w:tcPr>
            <w:tcW w:w="693"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2008</w:t>
            </w:r>
          </w:p>
        </w:tc>
        <w:tc>
          <w:tcPr>
            <w:tcW w:w="69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2009</w:t>
            </w:r>
          </w:p>
        </w:tc>
        <w:tc>
          <w:tcPr>
            <w:tcW w:w="69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2010</w:t>
            </w:r>
          </w:p>
        </w:tc>
        <w:tc>
          <w:tcPr>
            <w:tcW w:w="693"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2011</w:t>
            </w:r>
          </w:p>
        </w:tc>
        <w:tc>
          <w:tcPr>
            <w:tcW w:w="69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2012</w:t>
            </w:r>
          </w:p>
        </w:tc>
        <w:tc>
          <w:tcPr>
            <w:tcW w:w="696"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2013</w:t>
            </w:r>
          </w:p>
        </w:tc>
        <w:tc>
          <w:tcPr>
            <w:tcW w:w="69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2014</w:t>
            </w:r>
          </w:p>
        </w:tc>
        <w:tc>
          <w:tcPr>
            <w:tcW w:w="695"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2015</w:t>
            </w:r>
          </w:p>
        </w:tc>
        <w:tc>
          <w:tcPr>
            <w:tcW w:w="645"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2016</w:t>
            </w:r>
          </w:p>
        </w:tc>
        <w:tc>
          <w:tcPr>
            <w:tcW w:w="697"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2017</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Среднесписочная численность работников, тыс. чел.</w:t>
            </w:r>
          </w:p>
        </w:tc>
        <w:tc>
          <w:tcPr>
            <w:tcW w:w="693" w:type="dxa"/>
            <w:tcBorders/>
            <w:shd w:fill="auto" w:val="clear"/>
          </w:tcPr>
          <w:p>
            <w:pPr>
              <w:pStyle w:val="Normal"/>
              <w:spacing w:lineRule="auto" w:line="240" w:before="0" w:after="0"/>
              <w:jc w:val="center"/>
              <w:rPr>
                <w:rFonts w:cs="Times New Roman"/>
                <w:sz w:val="22"/>
                <w:szCs w:val="22"/>
              </w:rPr>
            </w:pPr>
            <w:r>
              <w:rPr>
                <w:rFonts w:cs="Times New Roman"/>
                <w:sz w:val="22"/>
                <w:szCs w:val="22"/>
              </w:rPr>
              <w:t>2,7</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2,6</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2,4</w:t>
            </w:r>
          </w:p>
        </w:tc>
        <w:tc>
          <w:tcPr>
            <w:tcW w:w="693" w:type="dxa"/>
            <w:tcBorders/>
            <w:shd w:fill="auto" w:val="clear"/>
          </w:tcPr>
          <w:p>
            <w:pPr>
              <w:pStyle w:val="Normal"/>
              <w:spacing w:lineRule="auto" w:line="240" w:before="0" w:after="0"/>
              <w:jc w:val="center"/>
              <w:rPr>
                <w:rFonts w:cs="Times New Roman"/>
                <w:sz w:val="22"/>
                <w:szCs w:val="22"/>
              </w:rPr>
            </w:pPr>
            <w:r>
              <w:rPr>
                <w:rFonts w:cs="Times New Roman"/>
                <w:sz w:val="22"/>
                <w:szCs w:val="22"/>
              </w:rPr>
              <w:t>2,2</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2,4</w:t>
            </w:r>
          </w:p>
        </w:tc>
        <w:tc>
          <w:tcPr>
            <w:tcW w:w="69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2,3</w:t>
            </w:r>
          </w:p>
        </w:tc>
        <w:tc>
          <w:tcPr>
            <w:tcW w:w="69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2,3</w:t>
            </w:r>
          </w:p>
        </w:tc>
        <w:tc>
          <w:tcPr>
            <w:tcW w:w="695"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2,2</w:t>
            </w:r>
          </w:p>
        </w:tc>
        <w:tc>
          <w:tcPr>
            <w:tcW w:w="645"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2,2</w:t>
            </w:r>
          </w:p>
        </w:tc>
        <w:tc>
          <w:tcPr>
            <w:tcW w:w="697"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2,0</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Уровень регистрируемой безработицы, %</w:t>
            </w:r>
          </w:p>
        </w:tc>
        <w:tc>
          <w:tcPr>
            <w:tcW w:w="693"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1,7</w:t>
            </w:r>
          </w:p>
        </w:tc>
        <w:tc>
          <w:tcPr>
            <w:tcW w:w="694"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1,7</w:t>
            </w:r>
          </w:p>
        </w:tc>
        <w:tc>
          <w:tcPr>
            <w:tcW w:w="694"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1,7</w:t>
            </w:r>
          </w:p>
        </w:tc>
        <w:tc>
          <w:tcPr>
            <w:tcW w:w="693"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1,3</w:t>
            </w:r>
          </w:p>
        </w:tc>
        <w:tc>
          <w:tcPr>
            <w:tcW w:w="694"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0,70</w:t>
            </w:r>
          </w:p>
        </w:tc>
        <w:tc>
          <w:tcPr>
            <w:tcW w:w="696"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0,49</w:t>
            </w:r>
          </w:p>
        </w:tc>
        <w:tc>
          <w:tcPr>
            <w:tcW w:w="694"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0,41</w:t>
            </w:r>
          </w:p>
        </w:tc>
        <w:tc>
          <w:tcPr>
            <w:tcW w:w="695"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0,52</w:t>
            </w:r>
          </w:p>
        </w:tc>
        <w:tc>
          <w:tcPr>
            <w:tcW w:w="645"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0,44</w:t>
            </w:r>
          </w:p>
        </w:tc>
        <w:tc>
          <w:tcPr>
            <w:tcW w:w="697"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0,41</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Численность зарегистрированных безработных, чел.</w:t>
            </w:r>
          </w:p>
        </w:tc>
        <w:tc>
          <w:tcPr>
            <w:tcW w:w="693"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150</w:t>
            </w:r>
          </w:p>
        </w:tc>
        <w:tc>
          <w:tcPr>
            <w:tcW w:w="694"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153</w:t>
            </w:r>
          </w:p>
        </w:tc>
        <w:tc>
          <w:tcPr>
            <w:tcW w:w="694"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146</w:t>
            </w:r>
          </w:p>
        </w:tc>
        <w:tc>
          <w:tcPr>
            <w:tcW w:w="693"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110</w:t>
            </w:r>
          </w:p>
        </w:tc>
        <w:tc>
          <w:tcPr>
            <w:tcW w:w="694" w:type="dxa"/>
            <w:tcBorders/>
            <w:shd w:fill="auto" w:val="clear"/>
          </w:tcPr>
          <w:p>
            <w:pPr>
              <w:pStyle w:val="Normal"/>
              <w:tabs>
                <w:tab w:val="clear" w:pos="708"/>
                <w:tab w:val="left" w:pos="0" w:leader="none"/>
              </w:tabs>
              <w:spacing w:lineRule="auto" w:line="240" w:before="0" w:after="0"/>
              <w:contextualSpacing/>
              <w:jc w:val="center"/>
              <w:rPr>
                <w:rFonts w:cs="Times New Roman"/>
                <w:sz w:val="22"/>
                <w:szCs w:val="22"/>
              </w:rPr>
            </w:pPr>
            <w:r>
              <w:rPr>
                <w:rFonts w:cs="Times New Roman"/>
                <w:sz w:val="22"/>
                <w:szCs w:val="22"/>
              </w:rPr>
              <w:t>64</w:t>
            </w:r>
          </w:p>
        </w:tc>
        <w:tc>
          <w:tcPr>
            <w:tcW w:w="696"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45</w:t>
            </w:r>
          </w:p>
        </w:tc>
        <w:tc>
          <w:tcPr>
            <w:tcW w:w="694"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38</w:t>
            </w:r>
          </w:p>
        </w:tc>
        <w:tc>
          <w:tcPr>
            <w:tcW w:w="695"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46</w:t>
            </w:r>
          </w:p>
        </w:tc>
        <w:tc>
          <w:tcPr>
            <w:tcW w:w="645"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38</w:t>
            </w:r>
          </w:p>
        </w:tc>
        <w:tc>
          <w:tcPr>
            <w:tcW w:w="697" w:type="dxa"/>
            <w:tcBorders/>
            <w:shd w:fill="auto" w:val="clear"/>
          </w:tcPr>
          <w:p>
            <w:pPr>
              <w:pStyle w:val="Default"/>
              <w:tabs>
                <w:tab w:val="clear" w:pos="708"/>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35</w:t>
            </w:r>
          </w:p>
        </w:tc>
      </w:tr>
      <w:tr>
        <w:trPr/>
        <w:tc>
          <w:tcPr>
            <w:tcW w:w="2741" w:type="dxa"/>
            <w:tcBorders/>
            <w:shd w:fill="auto" w:val="clear"/>
          </w:tcPr>
          <w:p>
            <w:pPr>
              <w:pStyle w:val="ListParagraph"/>
              <w:spacing w:lineRule="auto" w:line="240" w:before="0" w:after="0"/>
              <w:ind w:left="0" w:hanging="0"/>
              <w:contextualSpacing/>
              <w:jc w:val="both"/>
              <w:rPr>
                <w:rFonts w:cs="Times New Roman"/>
                <w:spacing w:val="-2"/>
                <w:sz w:val="22"/>
                <w:szCs w:val="22"/>
              </w:rPr>
            </w:pPr>
            <w:r>
              <w:rPr>
                <w:rFonts w:cs="Times New Roman"/>
                <w:spacing w:val="-2"/>
                <w:sz w:val="22"/>
                <w:szCs w:val="22"/>
              </w:rPr>
              <w:t>Количество вакансий, ед.</w:t>
            </w:r>
          </w:p>
        </w:tc>
        <w:tc>
          <w:tcPr>
            <w:tcW w:w="693"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600</w:t>
            </w:r>
          </w:p>
        </w:tc>
        <w:tc>
          <w:tcPr>
            <w:tcW w:w="694"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1213</w:t>
            </w:r>
          </w:p>
        </w:tc>
        <w:tc>
          <w:tcPr>
            <w:tcW w:w="694"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693</w:t>
            </w:r>
          </w:p>
        </w:tc>
        <w:tc>
          <w:tcPr>
            <w:tcW w:w="693"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554</w:t>
            </w:r>
          </w:p>
        </w:tc>
        <w:tc>
          <w:tcPr>
            <w:tcW w:w="694"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499</w:t>
            </w:r>
          </w:p>
        </w:tc>
        <w:tc>
          <w:tcPr>
            <w:tcW w:w="696"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607</w:t>
            </w:r>
          </w:p>
        </w:tc>
        <w:tc>
          <w:tcPr>
            <w:tcW w:w="694"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430</w:t>
            </w:r>
          </w:p>
        </w:tc>
        <w:tc>
          <w:tcPr>
            <w:tcW w:w="695"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525</w:t>
            </w:r>
          </w:p>
        </w:tc>
        <w:tc>
          <w:tcPr>
            <w:tcW w:w="645"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492</w:t>
            </w:r>
          </w:p>
        </w:tc>
        <w:tc>
          <w:tcPr>
            <w:tcW w:w="697" w:type="dxa"/>
            <w:tcBorders/>
            <w:shd w:fill="auto" w:val="clear"/>
          </w:tcPr>
          <w:p>
            <w:pPr>
              <w:pStyle w:val="ListParagraph"/>
              <w:tabs>
                <w:tab w:val="clear" w:pos="708"/>
                <w:tab w:val="left" w:pos="0" w:leader="none"/>
              </w:tabs>
              <w:spacing w:lineRule="auto" w:line="240" w:before="0" w:after="0"/>
              <w:ind w:left="0" w:hanging="0"/>
              <w:contextualSpacing/>
              <w:jc w:val="center"/>
              <w:rPr>
                <w:rFonts w:cs="Times New Roman"/>
                <w:sz w:val="22"/>
                <w:szCs w:val="22"/>
              </w:rPr>
            </w:pPr>
            <w:r>
              <w:rPr>
                <w:rFonts w:cs="Times New Roman"/>
                <w:sz w:val="22"/>
                <w:szCs w:val="22"/>
              </w:rPr>
              <w:t>441</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Высвобождение работников, чел.</w:t>
            </w:r>
          </w:p>
        </w:tc>
        <w:tc>
          <w:tcPr>
            <w:tcW w:w="693" w:type="dxa"/>
            <w:tcBorders/>
            <w:shd w:fill="auto" w:val="clear"/>
          </w:tcPr>
          <w:p>
            <w:pPr>
              <w:pStyle w:val="Normal"/>
              <w:spacing w:lineRule="auto" w:line="240" w:before="0" w:after="0"/>
              <w:jc w:val="center"/>
              <w:rPr>
                <w:rFonts w:cs="Times New Roman"/>
                <w:sz w:val="22"/>
                <w:szCs w:val="22"/>
              </w:rPr>
            </w:pPr>
            <w:r>
              <w:rPr>
                <w:rFonts w:cs="Times New Roman"/>
                <w:sz w:val="22"/>
                <w:szCs w:val="22"/>
              </w:rPr>
              <w:t>н/д</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147</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113</w:t>
            </w:r>
          </w:p>
        </w:tc>
        <w:tc>
          <w:tcPr>
            <w:tcW w:w="693" w:type="dxa"/>
            <w:tcBorders/>
            <w:shd w:fill="auto" w:val="clear"/>
          </w:tcPr>
          <w:p>
            <w:pPr>
              <w:pStyle w:val="Normal"/>
              <w:spacing w:lineRule="auto" w:line="240" w:before="0" w:after="0"/>
              <w:jc w:val="center"/>
              <w:rPr>
                <w:rFonts w:cs="Times New Roman"/>
                <w:sz w:val="22"/>
                <w:szCs w:val="22"/>
              </w:rPr>
            </w:pPr>
            <w:r>
              <w:rPr>
                <w:rFonts w:cs="Times New Roman"/>
                <w:sz w:val="22"/>
                <w:szCs w:val="22"/>
              </w:rPr>
              <w:t>150</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84</w:t>
            </w:r>
          </w:p>
        </w:tc>
        <w:tc>
          <w:tcPr>
            <w:tcW w:w="69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116</w:t>
            </w:r>
          </w:p>
        </w:tc>
        <w:tc>
          <w:tcPr>
            <w:tcW w:w="69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46</w:t>
            </w:r>
          </w:p>
        </w:tc>
        <w:tc>
          <w:tcPr>
            <w:tcW w:w="695"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97</w:t>
            </w:r>
          </w:p>
        </w:tc>
        <w:tc>
          <w:tcPr>
            <w:tcW w:w="645"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119</w:t>
            </w:r>
          </w:p>
        </w:tc>
        <w:tc>
          <w:tcPr>
            <w:tcW w:w="697"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84</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Количество созданных новых рабочих мест</w:t>
            </w:r>
          </w:p>
        </w:tc>
        <w:tc>
          <w:tcPr>
            <w:tcW w:w="693"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н/д</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н/д</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н/д</w:t>
            </w:r>
          </w:p>
        </w:tc>
        <w:tc>
          <w:tcPr>
            <w:tcW w:w="693"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290</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312</w:t>
            </w:r>
          </w:p>
        </w:tc>
        <w:tc>
          <w:tcPr>
            <w:tcW w:w="696"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314</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261</w:t>
            </w:r>
          </w:p>
        </w:tc>
        <w:tc>
          <w:tcPr>
            <w:tcW w:w="695"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238</w:t>
            </w:r>
          </w:p>
        </w:tc>
        <w:tc>
          <w:tcPr>
            <w:tcW w:w="645"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251</w:t>
            </w:r>
          </w:p>
        </w:tc>
        <w:tc>
          <w:tcPr>
            <w:tcW w:w="697"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340</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Доля занятых на работах с вредными и опасными условиями труда, %</w:t>
            </w:r>
          </w:p>
        </w:tc>
        <w:tc>
          <w:tcPr>
            <w:tcW w:w="693"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22,9</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20,3</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39,1</w:t>
            </w:r>
          </w:p>
        </w:tc>
        <w:tc>
          <w:tcPr>
            <w:tcW w:w="693"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35,8</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35,2</w:t>
            </w:r>
          </w:p>
        </w:tc>
        <w:tc>
          <w:tcPr>
            <w:tcW w:w="696"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26,8</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330</w:t>
            </w:r>
          </w:p>
        </w:tc>
        <w:tc>
          <w:tcPr>
            <w:tcW w:w="695"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27,2</w:t>
            </w:r>
          </w:p>
        </w:tc>
        <w:tc>
          <w:tcPr>
            <w:tcW w:w="645"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25</w:t>
            </w:r>
          </w:p>
        </w:tc>
        <w:tc>
          <w:tcPr>
            <w:tcW w:w="697" w:type="dxa"/>
            <w:tcBorders/>
            <w:shd w:fill="auto" w:val="clear"/>
          </w:tcPr>
          <w:p>
            <w:pPr>
              <w:pStyle w:val="Normal"/>
              <w:spacing w:lineRule="auto" w:line="240" w:before="0" w:after="0"/>
              <w:contextualSpacing/>
              <w:jc w:val="center"/>
              <w:rPr>
                <w:sz w:val="22"/>
                <w:szCs w:val="22"/>
              </w:rPr>
            </w:pPr>
            <w:r>
              <w:rPr>
                <w:sz w:val="22"/>
                <w:szCs w:val="22"/>
              </w:rPr>
              <w:t>23,3</w:t>
            </w:r>
          </w:p>
        </w:tc>
      </w:tr>
    </w:tbl>
    <w:p>
      <w:pPr>
        <w:pStyle w:val="ListParagraph"/>
        <w:ind w:left="72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Средняя заработная плата по заявленным вакансиям в органы службы занятости населения составила 11 471,42 руб., один из самых низких уровней оплаты труда (в целом по области – 20 754,85 руб.). Наиболее востребованные вакансии:</w:t>
      </w:r>
    </w:p>
    <w:p>
      <w:pPr>
        <w:pStyle w:val="ListParagraph"/>
        <w:ind w:left="0" w:firstLine="709"/>
        <w:jc w:val="both"/>
        <w:rPr>
          <w:rFonts w:cs="Times New Roman"/>
          <w:sz w:val="28"/>
          <w:szCs w:val="28"/>
        </w:rPr>
      </w:pPr>
      <w:r>
        <w:rPr>
          <w:rFonts w:cs="Times New Roman"/>
          <w:sz w:val="28"/>
          <w:szCs w:val="28"/>
        </w:rPr>
        <w:t>- стрелок (военнослужащий по контракту) (28,7 тыс. руб.);</w:t>
      </w:r>
    </w:p>
    <w:p>
      <w:pPr>
        <w:pStyle w:val="ListParagraph"/>
        <w:ind w:left="0" w:firstLine="709"/>
        <w:jc w:val="both"/>
        <w:rPr>
          <w:rFonts w:cs="Times New Roman"/>
          <w:sz w:val="28"/>
          <w:szCs w:val="28"/>
        </w:rPr>
      </w:pPr>
      <w:r>
        <w:rPr>
          <w:rFonts w:cs="Times New Roman"/>
          <w:sz w:val="28"/>
          <w:szCs w:val="28"/>
        </w:rPr>
        <w:t>- подсобный рабочий (10,9 тыс. руб.);</w:t>
      </w:r>
    </w:p>
    <w:p>
      <w:pPr>
        <w:pStyle w:val="ListParagraph"/>
        <w:ind w:left="0" w:firstLine="709"/>
        <w:jc w:val="both"/>
        <w:rPr>
          <w:rFonts w:cs="Times New Roman"/>
          <w:sz w:val="28"/>
          <w:szCs w:val="28"/>
        </w:rPr>
      </w:pPr>
      <w:r>
        <w:rPr>
          <w:rFonts w:cs="Times New Roman"/>
          <w:sz w:val="28"/>
          <w:szCs w:val="28"/>
        </w:rPr>
        <w:t>- заведующий хранилищем (12,5 тыс. руб.);</w:t>
      </w:r>
    </w:p>
    <w:p>
      <w:pPr>
        <w:pStyle w:val="ListParagraph"/>
        <w:ind w:left="0" w:firstLine="709"/>
        <w:jc w:val="both"/>
        <w:rPr>
          <w:rFonts w:cs="Times New Roman"/>
          <w:sz w:val="28"/>
          <w:szCs w:val="28"/>
        </w:rPr>
      </w:pPr>
      <w:r>
        <w:rPr>
          <w:rFonts w:cs="Times New Roman"/>
          <w:sz w:val="28"/>
          <w:szCs w:val="28"/>
        </w:rPr>
        <w:t>- укладчик-упаковщик (11,1 тыс. руб.).</w:t>
      </w:r>
    </w:p>
    <w:p>
      <w:pPr>
        <w:pStyle w:val="ListParagraph"/>
        <w:ind w:left="0" w:firstLine="709"/>
        <w:jc w:val="both"/>
        <w:rPr>
          <w:rFonts w:cs="Times New Roman"/>
          <w:sz w:val="28"/>
          <w:szCs w:val="28"/>
        </w:rPr>
      </w:pPr>
      <w:r>
        <w:rPr>
          <w:rFonts w:cs="Times New Roman"/>
          <w:sz w:val="28"/>
          <w:szCs w:val="28"/>
        </w:rPr>
        <w:t>- водитель автомобиля (14,4 тыс. руб.);</w:t>
      </w:r>
    </w:p>
    <w:p>
      <w:pPr>
        <w:pStyle w:val="ListParagraph"/>
        <w:ind w:left="0" w:firstLine="709"/>
        <w:jc w:val="both"/>
        <w:rPr>
          <w:rFonts w:cs="Times New Roman"/>
          <w:sz w:val="28"/>
          <w:szCs w:val="28"/>
        </w:rPr>
      </w:pPr>
      <w:r>
        <w:rPr>
          <w:rFonts w:cs="Times New Roman"/>
          <w:sz w:val="28"/>
          <w:szCs w:val="28"/>
        </w:rPr>
        <w:t>- медицинская сестра (13 тыс. руб.);</w:t>
      </w:r>
    </w:p>
    <w:p>
      <w:pPr>
        <w:pStyle w:val="ListParagraph"/>
        <w:ind w:left="0" w:firstLine="709"/>
        <w:jc w:val="both"/>
        <w:rPr>
          <w:rFonts w:cs="Times New Roman"/>
          <w:sz w:val="28"/>
          <w:szCs w:val="28"/>
        </w:rPr>
      </w:pPr>
      <w:r>
        <w:rPr>
          <w:rFonts w:cs="Times New Roman"/>
          <w:sz w:val="28"/>
          <w:szCs w:val="28"/>
        </w:rPr>
        <w:t>- фельдшер (15,8 тыс. руб.).</w:t>
      </w:r>
    </w:p>
    <w:p>
      <w:pPr>
        <w:pStyle w:val="ListParagraph"/>
        <w:ind w:left="0" w:firstLine="709"/>
        <w:jc w:val="both"/>
        <w:rPr>
          <w:rFonts w:cs="Times New Roman"/>
          <w:sz w:val="28"/>
          <w:szCs w:val="28"/>
        </w:rPr>
      </w:pPr>
      <w:r>
        <w:rPr>
          <w:rFonts w:cs="Times New Roman"/>
          <w:sz w:val="28"/>
          <w:szCs w:val="28"/>
        </w:rPr>
        <w:t xml:space="preserve">Структура потребности практически не меняется на протяжении 10 лет. Востребованы подсобные рабочие, водители автомобиля, военнослужащие, медицинские работники. Средняя скорость закрытия вакансий составляет </w:t>
        <w:br/>
        <w:t>от 1 до 3 месяцев.</w:t>
      </w:r>
    </w:p>
    <w:p>
      <w:pPr>
        <w:pStyle w:val="ListParagraph"/>
        <w:ind w:left="0" w:firstLine="709"/>
        <w:jc w:val="both"/>
        <w:rPr>
          <w:rFonts w:cs="Times New Roman"/>
          <w:sz w:val="28"/>
          <w:szCs w:val="28"/>
        </w:rPr>
      </w:pPr>
      <w:r>
        <w:rPr>
          <w:rFonts w:cs="Times New Roman"/>
          <w:b/>
          <w:sz w:val="28"/>
          <w:szCs w:val="28"/>
        </w:rPr>
        <w:t xml:space="preserve">Существует структурный дисбаланс между спросом и предложением на рабочую силу. Предприятия испытывают дефицит квалифицированных кадров, несмотря на переполненность рынка труда дипломированными специалистами. </w:t>
      </w:r>
      <w:r>
        <w:rPr>
          <w:rFonts w:cs="Times New Roman"/>
          <w:sz w:val="28"/>
          <w:szCs w:val="28"/>
        </w:rPr>
        <w:t>Определённые сложности с трудоустройством испытывают продавцы, водители автомобилей, охранники, сантехники, пекари, строители, уровень квалификации которых не соответствует требованиям работодателей. Жители отдалённых сёл не трудоустроены ввиду отсутствия рабочих мест. Анализируя состав безработных, 14% имеют высшее образование, 39% – среднее профессиональное, 46% не имеют профессионального образования. 46% – граждане предпенсионного возраста, 11% – инвалиды, маломобильные на рынке труда, котором работодатели не отдают предпочтение при трудоустройстве.</w:t>
      </w:r>
    </w:p>
    <w:p>
      <w:pPr>
        <w:pStyle w:val="ListParagraph"/>
        <w:ind w:left="0" w:firstLine="709"/>
        <w:jc w:val="both"/>
        <w:rPr>
          <w:rFonts w:cs="Times New Roman"/>
          <w:sz w:val="28"/>
          <w:szCs w:val="28"/>
        </w:rPr>
      </w:pPr>
      <w:r>
        <w:rPr>
          <w:rFonts w:cs="Times New Roman"/>
          <w:sz w:val="28"/>
          <w:szCs w:val="28"/>
        </w:rPr>
        <w:t>Доля занятых на работах с вредными и опасными условиями труда ниже среднеобластного уровня. В 2010-2011 гг. данный показатель превышал среднеобластное значение, с 2014 г. данный показатель имеет устойчивую тенденцию к снижению.</w:t>
      </w:r>
    </w:p>
    <w:p>
      <w:pPr>
        <w:pStyle w:val="ListParagraph"/>
        <w:ind w:left="0" w:firstLine="709"/>
        <w:jc w:val="both"/>
        <w:rPr>
          <w:rFonts w:cs="Times New Roman"/>
          <w:sz w:val="28"/>
          <w:szCs w:val="28"/>
        </w:rPr>
      </w:pPr>
      <w:r>
        <w:rPr>
          <w:rFonts w:cs="Times New Roman"/>
          <w:b/>
          <w:sz w:val="28"/>
          <w:szCs w:val="28"/>
        </w:rPr>
        <w:t xml:space="preserve">Проблемным вопросом остаётся уровень жизни населения. </w:t>
      </w:r>
      <w:r>
        <w:rPr>
          <w:rFonts w:cs="Times New Roman"/>
          <w:sz w:val="28"/>
          <w:szCs w:val="28"/>
        </w:rPr>
        <w:t xml:space="preserve">С 2013 </w:t>
        <w:br/>
        <w:t>по 2017 гг. уровень оплаты труда вырос на 25,8% (15 970,4 тыс. руб. в 2013 г., 20 088,2 тыс. руб. в 2017 г.). По данным за январь – ноябрь 2018 г. уровень среднемесячной заработной платы составил 21 725,5 тыс. руб. По уровню среднемесячной номинальной заработной платы Тереньгульский район занимает 19 позицию среди всех муниципальных образований, по темпу роста – 23 место.</w:t>
      </w:r>
    </w:p>
    <w:p>
      <w:pPr>
        <w:pStyle w:val="ListParagraph"/>
        <w:spacing w:before="120" w:after="120"/>
        <w:ind w:left="0" w:hanging="0"/>
        <w:contextualSpacing/>
        <w:jc w:val="center"/>
        <w:rPr>
          <w:spacing w:val="-4"/>
        </w:rPr>
      </w:pPr>
      <w:r>
        <w:rPr>
          <w:b/>
          <w:spacing w:val="-4"/>
          <w:sz w:val="28"/>
          <w:szCs w:val="28"/>
        </w:rPr>
        <w:t xml:space="preserve">Таблица </w:t>
      </w:r>
      <w:r>
        <w:rPr>
          <w:b/>
          <w:spacing w:val="-4"/>
          <w:sz w:val="28"/>
          <w:szCs w:val="28"/>
        </w:rPr>
        <w:fldChar w:fldCharType="begin"/>
      </w:r>
      <w:r>
        <w:rPr>
          <w:sz w:val="28"/>
          <w:spacing w:val="-4"/>
          <w:b/>
          <w:szCs w:val="28"/>
        </w:rPr>
        <w:instrText> SEQ Таблица \* ARABIC </w:instrText>
      </w:r>
      <w:r>
        <w:rPr>
          <w:sz w:val="28"/>
          <w:spacing w:val="-4"/>
          <w:b/>
          <w:szCs w:val="28"/>
        </w:rPr>
        <w:fldChar w:fldCharType="separate"/>
      </w:r>
      <w:r>
        <w:rPr>
          <w:sz w:val="28"/>
          <w:spacing w:val="-4"/>
          <w:b/>
          <w:szCs w:val="28"/>
        </w:rPr>
        <w:t>8</w:t>
      </w:r>
      <w:r>
        <w:rPr>
          <w:sz w:val="28"/>
          <w:spacing w:val="-4"/>
          <w:b/>
          <w:szCs w:val="28"/>
        </w:rPr>
        <w:fldChar w:fldCharType="end"/>
      </w:r>
      <w:r>
        <w:rPr>
          <w:b/>
          <w:spacing w:val="-4"/>
          <w:sz w:val="28"/>
          <w:szCs w:val="28"/>
        </w:rPr>
        <w:t xml:space="preserve"> - </w:t>
      </w:r>
      <w:r>
        <w:rPr>
          <w:rFonts w:cs="Times New Roman"/>
          <w:b/>
          <w:spacing w:val="-4"/>
          <w:sz w:val="28"/>
          <w:szCs w:val="28"/>
        </w:rPr>
        <w:t>Динамика показателей уровня жизни населения за 2010-2017 гг.</w:t>
      </w:r>
    </w:p>
    <w:tbl>
      <w:tblPr>
        <w:tblStyle w:val="af1"/>
        <w:tblW w:w="5000" w:type="pct"/>
        <w:jc w:val="left"/>
        <w:tblInd w:w="0" w:type="dxa"/>
        <w:tblCellMar>
          <w:top w:w="0" w:type="dxa"/>
          <w:left w:w="108" w:type="dxa"/>
          <w:bottom w:w="0" w:type="dxa"/>
          <w:right w:w="108" w:type="dxa"/>
        </w:tblCellMar>
        <w:tblLook w:noVBand="1" w:val="04a0" w:noHBand="0" w:lastColumn="0" w:firstColumn="1" w:lastRow="0" w:firstRow="1"/>
      </w:tblPr>
      <w:tblGrid>
        <w:gridCol w:w="2002"/>
        <w:gridCol w:w="949"/>
        <w:gridCol w:w="948"/>
        <w:gridCol w:w="947"/>
        <w:gridCol w:w="950"/>
        <w:gridCol w:w="948"/>
        <w:gridCol w:w="949"/>
        <w:gridCol w:w="973"/>
        <w:gridCol w:w="971"/>
      </w:tblGrid>
      <w:tr>
        <w:trPr/>
        <w:tc>
          <w:tcPr>
            <w:tcW w:w="2002" w:type="dxa"/>
            <w:tcBorders/>
            <w:shd w:fill="auto" w:val="clear"/>
            <w:vAlign w:val="center"/>
          </w:tcPr>
          <w:p>
            <w:pPr>
              <w:pStyle w:val="ListParagraph"/>
              <w:spacing w:lineRule="auto" w:line="240" w:before="0" w:after="0"/>
              <w:ind w:left="0" w:hanging="0"/>
              <w:contextualSpacing/>
              <w:jc w:val="center"/>
              <w:rPr>
                <w:rFonts w:cs="Times New Roman"/>
                <w:sz w:val="22"/>
                <w:szCs w:val="22"/>
              </w:rPr>
            </w:pPr>
            <w:r>
              <w:rPr>
                <w:rFonts w:cs="Times New Roman"/>
                <w:b/>
                <w:sz w:val="22"/>
                <w:szCs w:val="22"/>
                <w:lang w:eastAsia="ru-RU"/>
              </w:rPr>
              <w:t>Наименование показателя</w:t>
            </w:r>
          </w:p>
        </w:tc>
        <w:tc>
          <w:tcPr>
            <w:tcW w:w="949"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2010</w:t>
            </w:r>
          </w:p>
        </w:tc>
        <w:tc>
          <w:tcPr>
            <w:tcW w:w="948"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2011</w:t>
            </w:r>
          </w:p>
        </w:tc>
        <w:tc>
          <w:tcPr>
            <w:tcW w:w="947"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2012</w:t>
            </w:r>
          </w:p>
        </w:tc>
        <w:tc>
          <w:tcPr>
            <w:tcW w:w="950"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2013</w:t>
            </w:r>
          </w:p>
        </w:tc>
        <w:tc>
          <w:tcPr>
            <w:tcW w:w="948"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2014</w:t>
            </w:r>
          </w:p>
        </w:tc>
        <w:tc>
          <w:tcPr>
            <w:tcW w:w="949"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2015</w:t>
            </w:r>
          </w:p>
        </w:tc>
        <w:tc>
          <w:tcPr>
            <w:tcW w:w="973"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2016</w:t>
            </w:r>
          </w:p>
        </w:tc>
        <w:tc>
          <w:tcPr>
            <w:tcW w:w="971"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2017</w:t>
            </w:r>
          </w:p>
        </w:tc>
      </w:tr>
      <w:tr>
        <w:trPr/>
        <w:tc>
          <w:tcPr>
            <w:tcW w:w="2002" w:type="dxa"/>
            <w:tcBorders/>
            <w:shd w:fill="auto" w:val="clear"/>
            <w:vAlign w:val="center"/>
          </w:tcPr>
          <w:p>
            <w:pPr>
              <w:pStyle w:val="Normal"/>
              <w:spacing w:lineRule="auto" w:line="240" w:before="0" w:after="0"/>
              <w:rPr>
                <w:sz w:val="22"/>
                <w:szCs w:val="22"/>
                <w:lang w:eastAsia="ru-RU"/>
              </w:rPr>
            </w:pPr>
            <w:r>
              <w:rPr>
                <w:sz w:val="22"/>
                <w:szCs w:val="22"/>
                <w:lang w:eastAsia="ru-RU"/>
              </w:rPr>
              <w:t>Среднемесячная номинальная заработная плата, тыс. руб.</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10134,6</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11655,5</w:t>
            </w:r>
          </w:p>
        </w:tc>
        <w:tc>
          <w:tcPr>
            <w:tcW w:w="947" w:type="dxa"/>
            <w:tcBorders/>
            <w:shd w:fill="auto" w:val="clear"/>
          </w:tcPr>
          <w:p>
            <w:pPr>
              <w:pStyle w:val="Normal"/>
              <w:spacing w:lineRule="auto" w:line="240" w:before="0" w:after="0"/>
              <w:jc w:val="center"/>
              <w:rPr>
                <w:spacing w:val="-4"/>
                <w:sz w:val="22"/>
                <w:szCs w:val="22"/>
              </w:rPr>
            </w:pPr>
            <w:r>
              <w:rPr>
                <w:spacing w:val="-4"/>
                <w:sz w:val="22"/>
                <w:szCs w:val="22"/>
              </w:rPr>
              <w:t>13950,0</w:t>
            </w:r>
          </w:p>
        </w:tc>
        <w:tc>
          <w:tcPr>
            <w:tcW w:w="950" w:type="dxa"/>
            <w:tcBorders/>
            <w:shd w:fill="auto" w:val="clear"/>
          </w:tcPr>
          <w:p>
            <w:pPr>
              <w:pStyle w:val="Normal"/>
              <w:spacing w:lineRule="auto" w:line="240" w:before="0" w:after="0"/>
              <w:jc w:val="center"/>
              <w:rPr>
                <w:spacing w:val="-4"/>
                <w:sz w:val="22"/>
                <w:szCs w:val="22"/>
              </w:rPr>
            </w:pPr>
            <w:r>
              <w:rPr>
                <w:spacing w:val="-4"/>
                <w:sz w:val="22"/>
                <w:szCs w:val="22"/>
              </w:rPr>
              <w:t>15970,4</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17320,6</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17593,0</w:t>
            </w:r>
          </w:p>
        </w:tc>
        <w:tc>
          <w:tcPr>
            <w:tcW w:w="973" w:type="dxa"/>
            <w:tcBorders/>
            <w:shd w:fill="auto" w:val="clear"/>
          </w:tcPr>
          <w:p>
            <w:pPr>
              <w:pStyle w:val="Normal"/>
              <w:spacing w:lineRule="auto" w:line="240" w:before="0" w:after="0"/>
              <w:jc w:val="center"/>
              <w:rPr>
                <w:spacing w:val="-4"/>
                <w:sz w:val="22"/>
                <w:szCs w:val="22"/>
              </w:rPr>
            </w:pPr>
            <w:r>
              <w:rPr>
                <w:spacing w:val="-4"/>
                <w:sz w:val="22"/>
                <w:szCs w:val="22"/>
              </w:rPr>
              <w:t>18391,6</w:t>
            </w:r>
          </w:p>
        </w:tc>
        <w:tc>
          <w:tcPr>
            <w:tcW w:w="971" w:type="dxa"/>
            <w:tcBorders/>
            <w:shd w:fill="auto" w:val="clear"/>
          </w:tcPr>
          <w:p>
            <w:pPr>
              <w:pStyle w:val="Normal"/>
              <w:spacing w:lineRule="auto" w:line="240" w:before="0" w:after="0"/>
              <w:jc w:val="center"/>
              <w:rPr>
                <w:spacing w:val="-4"/>
                <w:sz w:val="22"/>
                <w:szCs w:val="22"/>
              </w:rPr>
            </w:pPr>
            <w:r>
              <w:rPr>
                <w:spacing w:val="-4"/>
                <w:sz w:val="22"/>
                <w:szCs w:val="22"/>
              </w:rPr>
              <w:t>20088,2</w:t>
            </w:r>
          </w:p>
        </w:tc>
      </w:tr>
      <w:tr>
        <w:trPr/>
        <w:tc>
          <w:tcPr>
            <w:tcW w:w="2002" w:type="dxa"/>
            <w:tcBorders/>
            <w:shd w:fill="auto" w:val="clear"/>
            <w:vAlign w:val="center"/>
          </w:tcPr>
          <w:p>
            <w:pPr>
              <w:pStyle w:val="Normal"/>
              <w:spacing w:lineRule="auto" w:line="240" w:before="0" w:after="0"/>
              <w:rPr>
                <w:sz w:val="22"/>
                <w:szCs w:val="22"/>
                <w:lang w:eastAsia="ru-RU"/>
              </w:rPr>
            </w:pPr>
            <w:r>
              <w:rPr>
                <w:sz w:val="22"/>
                <w:szCs w:val="22"/>
                <w:lang w:eastAsia="ru-RU"/>
              </w:rPr>
              <w:t>Численность получателей мер социальной поддержки с доходом ниже величины прожиточного минимума</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1164</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1247</w:t>
            </w:r>
          </w:p>
        </w:tc>
        <w:tc>
          <w:tcPr>
            <w:tcW w:w="947" w:type="dxa"/>
            <w:tcBorders/>
            <w:shd w:fill="auto" w:val="clear"/>
          </w:tcPr>
          <w:p>
            <w:pPr>
              <w:pStyle w:val="Normal"/>
              <w:spacing w:lineRule="auto" w:line="240" w:before="0" w:after="0"/>
              <w:jc w:val="center"/>
              <w:rPr>
                <w:spacing w:val="-4"/>
                <w:sz w:val="22"/>
                <w:szCs w:val="22"/>
              </w:rPr>
            </w:pPr>
            <w:r>
              <w:rPr>
                <w:spacing w:val="-4"/>
                <w:sz w:val="22"/>
                <w:szCs w:val="22"/>
              </w:rPr>
              <w:t>1241</w:t>
            </w:r>
          </w:p>
        </w:tc>
        <w:tc>
          <w:tcPr>
            <w:tcW w:w="950" w:type="dxa"/>
            <w:tcBorders/>
            <w:shd w:fill="auto" w:val="clear"/>
          </w:tcPr>
          <w:p>
            <w:pPr>
              <w:pStyle w:val="Normal"/>
              <w:spacing w:lineRule="auto" w:line="240" w:before="0" w:after="0"/>
              <w:jc w:val="center"/>
              <w:rPr>
                <w:spacing w:val="-4"/>
                <w:sz w:val="22"/>
                <w:szCs w:val="22"/>
              </w:rPr>
            </w:pPr>
            <w:r>
              <w:rPr>
                <w:spacing w:val="-4"/>
                <w:sz w:val="22"/>
                <w:szCs w:val="22"/>
              </w:rPr>
              <w:t>1023</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1021</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1028</w:t>
            </w:r>
          </w:p>
        </w:tc>
        <w:tc>
          <w:tcPr>
            <w:tcW w:w="973" w:type="dxa"/>
            <w:tcBorders/>
            <w:shd w:fill="auto" w:val="clear"/>
          </w:tcPr>
          <w:p>
            <w:pPr>
              <w:pStyle w:val="Normal"/>
              <w:spacing w:lineRule="auto" w:line="240" w:before="0" w:after="0"/>
              <w:jc w:val="center"/>
              <w:rPr>
                <w:spacing w:val="-4"/>
                <w:sz w:val="22"/>
                <w:szCs w:val="22"/>
              </w:rPr>
            </w:pPr>
            <w:r>
              <w:rPr>
                <w:spacing w:val="-4"/>
                <w:sz w:val="22"/>
                <w:szCs w:val="22"/>
              </w:rPr>
              <w:t>944</w:t>
            </w:r>
          </w:p>
        </w:tc>
        <w:tc>
          <w:tcPr>
            <w:tcW w:w="971" w:type="dxa"/>
            <w:tcBorders/>
            <w:shd w:fill="auto" w:val="clear"/>
          </w:tcPr>
          <w:p>
            <w:pPr>
              <w:pStyle w:val="Normal"/>
              <w:spacing w:lineRule="auto" w:line="240" w:before="0" w:after="0"/>
              <w:jc w:val="center"/>
              <w:rPr>
                <w:spacing w:val="-4"/>
                <w:sz w:val="22"/>
                <w:szCs w:val="22"/>
              </w:rPr>
            </w:pPr>
            <w:r>
              <w:rPr>
                <w:spacing w:val="-4"/>
                <w:sz w:val="22"/>
                <w:szCs w:val="22"/>
              </w:rPr>
              <w:t>895</w:t>
            </w:r>
          </w:p>
        </w:tc>
      </w:tr>
      <w:tr>
        <w:trPr/>
        <w:tc>
          <w:tcPr>
            <w:tcW w:w="2002"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Средний размер пенсий, руб.</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6467,8</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6979,4</w:t>
            </w:r>
          </w:p>
        </w:tc>
        <w:tc>
          <w:tcPr>
            <w:tcW w:w="947" w:type="dxa"/>
            <w:tcBorders/>
            <w:shd w:fill="auto" w:val="clear"/>
          </w:tcPr>
          <w:p>
            <w:pPr>
              <w:pStyle w:val="Normal"/>
              <w:spacing w:lineRule="auto" w:line="240" w:before="0" w:after="0"/>
              <w:jc w:val="center"/>
              <w:rPr>
                <w:spacing w:val="-4"/>
                <w:sz w:val="22"/>
                <w:szCs w:val="22"/>
              </w:rPr>
            </w:pPr>
            <w:r>
              <w:rPr>
                <w:spacing w:val="-4"/>
                <w:sz w:val="22"/>
                <w:szCs w:val="22"/>
              </w:rPr>
              <w:t>7694,4</w:t>
            </w:r>
          </w:p>
        </w:tc>
        <w:tc>
          <w:tcPr>
            <w:tcW w:w="950" w:type="dxa"/>
            <w:tcBorders/>
            <w:shd w:fill="auto" w:val="clear"/>
          </w:tcPr>
          <w:p>
            <w:pPr>
              <w:pStyle w:val="Normal"/>
              <w:spacing w:lineRule="auto" w:line="240" w:before="0" w:after="0"/>
              <w:jc w:val="center"/>
              <w:rPr>
                <w:spacing w:val="-4"/>
                <w:sz w:val="22"/>
                <w:szCs w:val="22"/>
              </w:rPr>
            </w:pPr>
            <w:r>
              <w:rPr>
                <w:spacing w:val="-4"/>
                <w:sz w:val="22"/>
                <w:szCs w:val="22"/>
              </w:rPr>
              <w:t>8336,2</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8336,2</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9038,7</w:t>
            </w:r>
          </w:p>
        </w:tc>
        <w:tc>
          <w:tcPr>
            <w:tcW w:w="973" w:type="dxa"/>
            <w:tcBorders/>
            <w:shd w:fill="auto" w:val="clear"/>
          </w:tcPr>
          <w:p>
            <w:pPr>
              <w:pStyle w:val="Normal"/>
              <w:spacing w:lineRule="auto" w:line="240" w:before="0" w:after="0"/>
              <w:jc w:val="center"/>
              <w:rPr>
                <w:spacing w:val="-4"/>
                <w:sz w:val="22"/>
                <w:szCs w:val="22"/>
              </w:rPr>
            </w:pPr>
            <w:r>
              <w:rPr>
                <w:spacing w:val="-4"/>
                <w:sz w:val="22"/>
                <w:szCs w:val="22"/>
              </w:rPr>
              <w:t>9998,0</w:t>
            </w:r>
          </w:p>
        </w:tc>
        <w:tc>
          <w:tcPr>
            <w:tcW w:w="971" w:type="dxa"/>
            <w:tcBorders/>
            <w:shd w:fill="auto" w:val="clear"/>
          </w:tcPr>
          <w:p>
            <w:pPr>
              <w:pStyle w:val="Normal"/>
              <w:spacing w:lineRule="auto" w:line="240" w:before="0" w:after="0"/>
              <w:jc w:val="center"/>
              <w:rPr>
                <w:spacing w:val="-4"/>
                <w:sz w:val="22"/>
                <w:szCs w:val="22"/>
              </w:rPr>
            </w:pPr>
            <w:r>
              <w:rPr>
                <w:spacing w:val="-4"/>
                <w:sz w:val="22"/>
                <w:szCs w:val="22"/>
              </w:rPr>
              <w:t>10286,8</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Просроченная задолженность по заработной плате с 2014 г. отсутствует.</w:t>
      </w:r>
    </w:p>
    <w:p>
      <w:pPr>
        <w:pStyle w:val="ListParagraph"/>
        <w:ind w:left="0" w:firstLine="709"/>
        <w:jc w:val="both"/>
        <w:rPr>
          <w:rFonts w:cs="Times New Roman"/>
          <w:b/>
          <w:b/>
          <w:sz w:val="28"/>
          <w:szCs w:val="28"/>
        </w:rPr>
      </w:pPr>
      <w:r>
        <w:rPr>
          <w:rFonts w:cs="Times New Roman"/>
          <w:sz w:val="28"/>
          <w:szCs w:val="28"/>
        </w:rPr>
        <w:t xml:space="preserve">Численность получателей мер социальной поддержки с доходами ниже величины прожиточного минимума стабильно сокращается: в 2008 г. – 2982 человека, в 2010 г. – 1164, в 2017 г. – 895, в 2018 г. – 735 человек. </w:t>
      </w:r>
      <w:r>
        <w:rPr>
          <w:rFonts w:cs="Times New Roman"/>
          <w:b/>
          <w:sz w:val="28"/>
          <w:szCs w:val="28"/>
        </w:rPr>
        <w:t xml:space="preserve">Одной из причин может быть пересмотр критериев адресности и нуждаемости. Тем не менее, данная динамика свидетельствует о снижении доли населения </w:t>
        <w:br/>
        <w:t>с доходами ниже величины прожиточного минимума, нуждающихся в мерах социальной поддержки.</w:t>
      </w:r>
    </w:p>
    <w:p>
      <w:pPr>
        <w:pStyle w:val="ListParagraph"/>
        <w:ind w:left="0" w:firstLine="709"/>
        <w:jc w:val="both"/>
        <w:rPr>
          <w:rFonts w:cs="Times New Roman"/>
          <w:sz w:val="28"/>
          <w:szCs w:val="28"/>
        </w:rPr>
      </w:pPr>
      <w:r>
        <w:rPr>
          <w:rFonts w:cs="Times New Roman"/>
          <w:sz w:val="28"/>
          <w:szCs w:val="28"/>
        </w:rPr>
        <w:t>Численность пенсионеров, состоящих на учёте в системе Пенсионного фонда РФ, составляет 5,7 тысяч человек. Средний размер пенсий в 2018 г. составляет 11064,6 тыс. руб., увеличение по сравнению с 2013 г. составило 32,7%. Средний размер пенсий в Тереньгульском районе на 11% ниже среднеобластного значения – 12 238,3 тыс. руб. По уровню среднего размера пенсий район занимает 22 строчку.</w:t>
      </w:r>
    </w:p>
    <w:p>
      <w:pPr>
        <w:pStyle w:val="ListParagraph"/>
        <w:ind w:left="0" w:firstLine="709"/>
        <w:jc w:val="both"/>
        <w:rPr>
          <w:rFonts w:cs="Times New Roman"/>
          <w:b/>
          <w:b/>
          <w:sz w:val="28"/>
          <w:szCs w:val="28"/>
        </w:rPr>
      </w:pPr>
      <w:r>
        <w:rPr>
          <w:rFonts w:cs="Times New Roman"/>
          <w:b/>
          <w:sz w:val="28"/>
          <w:szCs w:val="28"/>
        </w:rPr>
        <w:t>Уровень жизни населения Тереньгульского района можно охарактеризовать как низкий.</w:t>
      </w:r>
    </w:p>
    <w:p>
      <w:pPr>
        <w:pStyle w:val="ListParagraph"/>
        <w:ind w:left="0" w:firstLine="709"/>
        <w:jc w:val="both"/>
        <w:rPr>
          <w:rFonts w:cs="Times New Roman"/>
          <w:b/>
          <w:b/>
          <w:sz w:val="28"/>
          <w:szCs w:val="28"/>
        </w:rPr>
      </w:pPr>
      <w:r>
        <w:rPr>
          <w:rFonts w:cs="Times New Roman"/>
          <w:b/>
          <w:sz w:val="28"/>
          <w:szCs w:val="28"/>
        </w:rPr>
      </w:r>
    </w:p>
    <w:p>
      <w:pPr>
        <w:pStyle w:val="32"/>
        <w:rPr/>
      </w:pPr>
      <w:bookmarkStart w:id="16" w:name="_Toc2237194"/>
      <w:bookmarkStart w:id="17" w:name="_Toc4404993"/>
      <w:r>
        <w:rPr/>
        <w:t>1.5.3. Здравоохранение</w:t>
      </w:r>
      <w:bookmarkEnd w:id="16"/>
      <w:bookmarkEnd w:id="17"/>
    </w:p>
    <w:p>
      <w:pPr>
        <w:pStyle w:val="ListParagraph"/>
        <w:ind w:left="0" w:firstLine="709"/>
        <w:jc w:val="both"/>
        <w:rPr>
          <w:rFonts w:cs="Times New Roman"/>
          <w:sz w:val="28"/>
          <w:szCs w:val="28"/>
        </w:rPr>
      </w:pPr>
      <w:r>
        <w:rPr>
          <w:rFonts w:cs="Times New Roman"/>
          <w:sz w:val="28"/>
          <w:szCs w:val="28"/>
        </w:rPr>
        <w:t>В систему здравоохранения Тереньгульского района входят:</w:t>
      </w:r>
    </w:p>
    <w:p>
      <w:pPr>
        <w:pStyle w:val="ListParagraph"/>
        <w:ind w:left="0" w:firstLine="709"/>
        <w:jc w:val="both"/>
        <w:rPr>
          <w:rFonts w:cs="Times New Roman"/>
          <w:sz w:val="28"/>
          <w:szCs w:val="28"/>
        </w:rPr>
      </w:pPr>
      <w:r>
        <w:rPr>
          <w:rFonts w:cs="Times New Roman"/>
          <w:sz w:val="28"/>
          <w:szCs w:val="28"/>
        </w:rPr>
        <w:t>- 1 больничная организация на 82 больничные койки;</w:t>
      </w:r>
    </w:p>
    <w:p>
      <w:pPr>
        <w:pStyle w:val="ListParagraph"/>
        <w:ind w:left="0" w:firstLine="709"/>
        <w:jc w:val="both"/>
        <w:rPr>
          <w:rFonts w:cs="Times New Roman"/>
          <w:sz w:val="28"/>
          <w:szCs w:val="28"/>
        </w:rPr>
      </w:pPr>
      <w:r>
        <w:rPr>
          <w:rFonts w:cs="Times New Roman"/>
          <w:sz w:val="28"/>
          <w:szCs w:val="28"/>
        </w:rPr>
        <w:t>- 1 амбулаторно-поликлиническая организация;</w:t>
      </w:r>
    </w:p>
    <w:p>
      <w:pPr>
        <w:pStyle w:val="ListParagraph"/>
        <w:ind w:left="0" w:firstLine="709"/>
        <w:jc w:val="both"/>
        <w:rPr>
          <w:rFonts w:cs="Times New Roman"/>
          <w:sz w:val="28"/>
          <w:szCs w:val="28"/>
        </w:rPr>
      </w:pPr>
      <w:r>
        <w:rPr>
          <w:rFonts w:cs="Times New Roman"/>
          <w:sz w:val="28"/>
          <w:szCs w:val="28"/>
        </w:rPr>
        <w:t>- 17 фельдшерско-акушерских пунктов.</w:t>
      </w:r>
    </w:p>
    <w:p>
      <w:pPr>
        <w:pStyle w:val="ListParagraph"/>
        <w:ind w:left="0" w:firstLine="709"/>
        <w:jc w:val="both"/>
        <w:rPr>
          <w:rFonts w:cs="Times New Roman"/>
          <w:sz w:val="28"/>
          <w:szCs w:val="28"/>
        </w:rPr>
      </w:pPr>
      <w:r>
        <w:rPr>
          <w:rFonts w:cs="Times New Roman"/>
          <w:sz w:val="28"/>
          <w:szCs w:val="28"/>
        </w:rPr>
        <w:t>На 01.01.2018 г. численность врачей всех специальностей составляет 37 человек, численность среднего медицинского персонала – 108 человек.</w:t>
      </w:r>
    </w:p>
    <w:p>
      <w:pPr>
        <w:pStyle w:val="Caption"/>
        <w:keepNext w:val="true"/>
        <w:spacing w:before="120" w:after="120"/>
        <w:jc w:val="center"/>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9</w:t>
      </w:r>
      <w:r>
        <w:rPr>
          <w:sz w:val="28"/>
          <w:szCs w:val="28"/>
        </w:rPr>
        <w:fldChar w:fldCharType="end"/>
      </w:r>
      <w:r>
        <w:rPr>
          <w:color w:val="auto"/>
          <w:sz w:val="28"/>
          <w:szCs w:val="28"/>
        </w:rPr>
        <w:t xml:space="preserve"> – Показатели, характеризующие уровень здравоохранения </w:t>
        <w:br/>
        <w:t>в Тереньгульском районе за 2008-2018 гг.</w:t>
      </w:r>
    </w:p>
    <w:tbl>
      <w:tblPr>
        <w:tblStyle w:val="af1"/>
        <w:tblW w:w="9682" w:type="dxa"/>
        <w:jc w:val="left"/>
        <w:tblInd w:w="108" w:type="dxa"/>
        <w:tblCellMar>
          <w:top w:w="0" w:type="dxa"/>
          <w:left w:w="108" w:type="dxa"/>
          <w:bottom w:w="0" w:type="dxa"/>
          <w:right w:w="108" w:type="dxa"/>
        </w:tblCellMar>
        <w:tblLook w:noVBand="1" w:val="04a0" w:noHBand="0" w:lastColumn="0" w:firstColumn="1" w:lastRow="0" w:firstRow="1"/>
      </w:tblPr>
      <w:tblGrid>
        <w:gridCol w:w="2202"/>
        <w:gridCol w:w="680"/>
        <w:gridCol w:w="680"/>
        <w:gridCol w:w="679"/>
        <w:gridCol w:w="680"/>
        <w:gridCol w:w="680"/>
        <w:gridCol w:w="679"/>
        <w:gridCol w:w="680"/>
        <w:gridCol w:w="681"/>
        <w:gridCol w:w="678"/>
        <w:gridCol w:w="680"/>
        <w:gridCol w:w="682"/>
      </w:tblGrid>
      <w:tr>
        <w:trPr/>
        <w:tc>
          <w:tcPr>
            <w:tcW w:w="2202" w:type="dxa"/>
            <w:tcBorders/>
            <w:shd w:fill="auto" w:val="clear"/>
            <w:vAlign w:val="center"/>
          </w:tcPr>
          <w:p>
            <w:pPr>
              <w:pStyle w:val="ListParagraph"/>
              <w:spacing w:lineRule="auto" w:line="228" w:before="0" w:after="0"/>
              <w:ind w:left="0" w:hanging="0"/>
              <w:contextualSpacing/>
              <w:jc w:val="center"/>
              <w:rPr>
                <w:rFonts w:cs="Times New Roman"/>
                <w:b/>
                <w:b/>
                <w:sz w:val="22"/>
                <w:szCs w:val="22"/>
              </w:rPr>
            </w:pPr>
            <w:r>
              <w:rPr>
                <w:rFonts w:cs="Times New Roman"/>
                <w:b/>
                <w:sz w:val="22"/>
                <w:szCs w:val="22"/>
              </w:rPr>
              <w:t>Наименование показателя</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2008</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2009</w:t>
            </w:r>
          </w:p>
        </w:tc>
        <w:tc>
          <w:tcPr>
            <w:tcW w:w="679"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2010</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2011</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2012</w:t>
            </w:r>
          </w:p>
        </w:tc>
        <w:tc>
          <w:tcPr>
            <w:tcW w:w="679"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2013</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2014</w:t>
            </w:r>
          </w:p>
        </w:tc>
        <w:tc>
          <w:tcPr>
            <w:tcW w:w="681"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2015</w:t>
            </w:r>
          </w:p>
        </w:tc>
        <w:tc>
          <w:tcPr>
            <w:tcW w:w="678"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2016</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2017</w:t>
            </w:r>
          </w:p>
        </w:tc>
        <w:tc>
          <w:tcPr>
            <w:tcW w:w="682"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2018</w:t>
            </w:r>
          </w:p>
        </w:tc>
      </w:tr>
      <w:tr>
        <w:trPr/>
        <w:tc>
          <w:tcPr>
            <w:tcW w:w="2202" w:type="dxa"/>
            <w:tcBorders/>
            <w:shd w:fill="auto" w:val="clear"/>
          </w:tcPr>
          <w:p>
            <w:pPr>
              <w:pStyle w:val="ListParagraph"/>
              <w:spacing w:lineRule="auto" w:line="228" w:before="0" w:after="0"/>
              <w:ind w:left="0" w:hanging="0"/>
              <w:contextualSpacing/>
              <w:jc w:val="both"/>
              <w:rPr>
                <w:rFonts w:cs="Times New Roman"/>
                <w:sz w:val="22"/>
                <w:szCs w:val="22"/>
              </w:rPr>
            </w:pPr>
            <w:r>
              <w:rPr>
                <w:rFonts w:cs="Times New Roman"/>
                <w:sz w:val="22"/>
                <w:szCs w:val="22"/>
              </w:rPr>
              <w:t>Численность врачей на 1000 населения</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15,2</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14,8</w:t>
            </w:r>
          </w:p>
        </w:tc>
        <w:tc>
          <w:tcPr>
            <w:tcW w:w="679"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16,0</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13,0</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13,7</w:t>
            </w:r>
          </w:p>
        </w:tc>
        <w:tc>
          <w:tcPr>
            <w:tcW w:w="679"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18,3</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20,7</w:t>
            </w:r>
          </w:p>
        </w:tc>
        <w:tc>
          <w:tcPr>
            <w:tcW w:w="681"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21,4</w:t>
            </w:r>
          </w:p>
        </w:tc>
        <w:tc>
          <w:tcPr>
            <w:tcW w:w="678"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19,8</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21,2</w:t>
            </w:r>
          </w:p>
        </w:tc>
        <w:tc>
          <w:tcPr>
            <w:tcW w:w="682"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20,1</w:t>
            </w:r>
          </w:p>
        </w:tc>
      </w:tr>
      <w:tr>
        <w:trPr/>
        <w:tc>
          <w:tcPr>
            <w:tcW w:w="2202" w:type="dxa"/>
            <w:tcBorders/>
            <w:shd w:fill="auto" w:val="clear"/>
          </w:tcPr>
          <w:p>
            <w:pPr>
              <w:pStyle w:val="ListParagraph"/>
              <w:spacing w:lineRule="auto" w:line="228" w:before="0" w:after="0"/>
              <w:ind w:left="0" w:hanging="0"/>
              <w:contextualSpacing/>
              <w:rPr>
                <w:rFonts w:cs="Times New Roman"/>
                <w:sz w:val="22"/>
                <w:szCs w:val="22"/>
              </w:rPr>
            </w:pPr>
            <w:r>
              <w:rPr>
                <w:rFonts w:cs="Times New Roman"/>
                <w:sz w:val="22"/>
                <w:szCs w:val="22"/>
              </w:rPr>
              <w:t>Численность среднего медицинского персонала на 1000 населения</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88,8</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83,9</w:t>
            </w:r>
          </w:p>
        </w:tc>
        <w:tc>
          <w:tcPr>
            <w:tcW w:w="679"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86,1</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77,4</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76,2</w:t>
            </w:r>
          </w:p>
        </w:tc>
        <w:tc>
          <w:tcPr>
            <w:tcW w:w="679" w:type="dxa"/>
            <w:tcBorders/>
            <w:shd w:fill="auto" w:val="clear"/>
          </w:tcPr>
          <w:p>
            <w:pPr>
              <w:pStyle w:val="Default"/>
              <w:spacing w:lineRule="auto" w:line="228" w:before="0" w:after="0"/>
              <w:ind w:right="-61" w:hanging="0"/>
              <w:jc w:val="center"/>
              <w:rPr>
                <w:rFonts w:ascii="Times New Roman" w:hAnsi="Times New Roman" w:cs="Times New Roman"/>
                <w:sz w:val="22"/>
                <w:szCs w:val="22"/>
              </w:rPr>
            </w:pPr>
            <w:r>
              <w:rPr>
                <w:rFonts w:cs="Times New Roman" w:ascii="Times New Roman" w:hAnsi="Times New Roman"/>
                <w:sz w:val="22"/>
                <w:szCs w:val="22"/>
              </w:rPr>
              <w:t>74,8</w:t>
            </w:r>
          </w:p>
        </w:tc>
        <w:tc>
          <w:tcPr>
            <w:tcW w:w="680" w:type="dxa"/>
            <w:tcBorders/>
            <w:shd w:fill="auto" w:val="clear"/>
          </w:tcPr>
          <w:p>
            <w:pPr>
              <w:pStyle w:val="Default"/>
              <w:spacing w:lineRule="auto" w:line="228" w:before="0" w:after="0"/>
              <w:ind w:right="-61" w:hanging="0"/>
              <w:jc w:val="center"/>
              <w:rPr>
                <w:rFonts w:ascii="Times New Roman" w:hAnsi="Times New Roman" w:cs="Times New Roman"/>
                <w:sz w:val="22"/>
                <w:szCs w:val="22"/>
              </w:rPr>
            </w:pPr>
            <w:r>
              <w:rPr>
                <w:rFonts w:cs="Times New Roman" w:ascii="Times New Roman" w:hAnsi="Times New Roman"/>
                <w:sz w:val="22"/>
                <w:szCs w:val="22"/>
              </w:rPr>
              <w:t>82,1</w:t>
            </w:r>
          </w:p>
        </w:tc>
        <w:tc>
          <w:tcPr>
            <w:tcW w:w="681" w:type="dxa"/>
            <w:tcBorders/>
            <w:shd w:fill="auto" w:val="clear"/>
          </w:tcPr>
          <w:p>
            <w:pPr>
              <w:pStyle w:val="Default"/>
              <w:spacing w:lineRule="auto" w:line="228" w:before="0" w:after="0"/>
              <w:ind w:right="-61" w:hanging="0"/>
              <w:jc w:val="center"/>
              <w:rPr>
                <w:rFonts w:ascii="Times New Roman" w:hAnsi="Times New Roman" w:cs="Times New Roman"/>
                <w:sz w:val="22"/>
                <w:szCs w:val="22"/>
              </w:rPr>
            </w:pPr>
            <w:r>
              <w:rPr>
                <w:rFonts w:cs="Times New Roman" w:ascii="Times New Roman" w:hAnsi="Times New Roman"/>
                <w:sz w:val="22"/>
                <w:szCs w:val="22"/>
              </w:rPr>
              <w:t>76,0</w:t>
            </w:r>
          </w:p>
        </w:tc>
        <w:tc>
          <w:tcPr>
            <w:tcW w:w="678"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66,8</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63,1</w:t>
            </w:r>
          </w:p>
        </w:tc>
        <w:tc>
          <w:tcPr>
            <w:tcW w:w="682"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60,8</w:t>
            </w:r>
          </w:p>
        </w:tc>
      </w:tr>
      <w:tr>
        <w:trPr/>
        <w:tc>
          <w:tcPr>
            <w:tcW w:w="2202" w:type="dxa"/>
            <w:tcBorders/>
            <w:shd w:fill="auto" w:val="clear"/>
          </w:tcPr>
          <w:p>
            <w:pPr>
              <w:pStyle w:val="ListParagraph"/>
              <w:spacing w:lineRule="auto" w:line="228" w:before="0" w:after="0"/>
              <w:ind w:left="0" w:hanging="0"/>
              <w:contextualSpacing/>
              <w:rPr>
                <w:rFonts w:cs="Times New Roman"/>
                <w:sz w:val="22"/>
                <w:szCs w:val="22"/>
              </w:rPr>
            </w:pPr>
            <w:r>
              <w:rPr>
                <w:rFonts w:cs="Times New Roman"/>
                <w:sz w:val="22"/>
                <w:szCs w:val="22"/>
              </w:rPr>
              <w:t>Зарегистрировано заболеваний у пациентов с диагнозом, выявленным впервые в жизни, тыс. ед.</w:t>
            </w:r>
          </w:p>
        </w:tc>
        <w:tc>
          <w:tcPr>
            <w:tcW w:w="680"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13,9</w:t>
            </w:r>
          </w:p>
        </w:tc>
        <w:tc>
          <w:tcPr>
            <w:tcW w:w="680"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13,8</w:t>
            </w:r>
          </w:p>
        </w:tc>
        <w:tc>
          <w:tcPr>
            <w:tcW w:w="679"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10,8</w:t>
            </w:r>
          </w:p>
        </w:tc>
        <w:tc>
          <w:tcPr>
            <w:tcW w:w="680"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13,4</w:t>
            </w:r>
          </w:p>
        </w:tc>
        <w:tc>
          <w:tcPr>
            <w:tcW w:w="680"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13,8</w:t>
            </w:r>
          </w:p>
        </w:tc>
        <w:tc>
          <w:tcPr>
            <w:tcW w:w="679"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13,7</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11,7</w:t>
            </w:r>
          </w:p>
        </w:tc>
        <w:tc>
          <w:tcPr>
            <w:tcW w:w="681"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11,8</w:t>
            </w:r>
          </w:p>
        </w:tc>
        <w:tc>
          <w:tcPr>
            <w:tcW w:w="678"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11,8</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11,5</w:t>
            </w:r>
          </w:p>
        </w:tc>
        <w:tc>
          <w:tcPr>
            <w:tcW w:w="682"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н/д</w:t>
            </w:r>
          </w:p>
        </w:tc>
      </w:tr>
      <w:tr>
        <w:trPr/>
        <w:tc>
          <w:tcPr>
            <w:tcW w:w="2202" w:type="dxa"/>
            <w:tcBorders/>
            <w:shd w:fill="auto" w:val="clear"/>
          </w:tcPr>
          <w:p>
            <w:pPr>
              <w:pStyle w:val="ListParagraph"/>
              <w:spacing w:lineRule="auto" w:line="228" w:before="0" w:after="0"/>
              <w:ind w:left="0" w:hanging="0"/>
              <w:contextualSpacing/>
              <w:jc w:val="both"/>
              <w:rPr>
                <w:rFonts w:cs="Times New Roman"/>
                <w:sz w:val="22"/>
                <w:szCs w:val="22"/>
              </w:rPr>
            </w:pPr>
            <w:r>
              <w:rPr>
                <w:rFonts w:cs="Times New Roman"/>
                <w:sz w:val="22"/>
                <w:szCs w:val="22"/>
              </w:rPr>
              <w:t>Доля населения, охваченного диспансеризацией, %</w:t>
            </w:r>
          </w:p>
        </w:tc>
        <w:tc>
          <w:tcPr>
            <w:tcW w:w="680"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80"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79"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80"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80"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79"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н/д</w:t>
            </w:r>
          </w:p>
        </w:tc>
        <w:tc>
          <w:tcPr>
            <w:tcW w:w="681" w:type="dxa"/>
            <w:tcBorders/>
            <w:shd w:fill="auto" w:val="clear"/>
          </w:tcPr>
          <w:p>
            <w:pPr>
              <w:pStyle w:val="Normal"/>
              <w:spacing w:lineRule="auto" w:line="228" w:before="0" w:after="0"/>
              <w:jc w:val="center"/>
              <w:rPr>
                <w:rFonts w:cs="Times New Roman"/>
                <w:sz w:val="22"/>
                <w:szCs w:val="22"/>
                <w:highlight w:val="white"/>
              </w:rPr>
            </w:pPr>
            <w:r>
              <w:rPr>
                <w:rFonts w:cs="Times New Roman"/>
                <w:sz w:val="22"/>
                <w:szCs w:val="22"/>
                <w:shd w:fill="FFFFFF" w:val="clear"/>
              </w:rPr>
              <w:t>67,3</w:t>
            </w:r>
          </w:p>
        </w:tc>
        <w:tc>
          <w:tcPr>
            <w:tcW w:w="678" w:type="dxa"/>
            <w:tcBorders/>
            <w:shd w:fill="auto" w:val="clear"/>
          </w:tcPr>
          <w:p>
            <w:pPr>
              <w:pStyle w:val="Normal"/>
              <w:spacing w:lineRule="auto" w:line="228" w:before="0" w:after="0"/>
              <w:jc w:val="center"/>
              <w:rPr>
                <w:rFonts w:cs="Times New Roman"/>
                <w:sz w:val="22"/>
                <w:szCs w:val="22"/>
                <w:highlight w:val="white"/>
              </w:rPr>
            </w:pPr>
            <w:r>
              <w:rPr>
                <w:rFonts w:cs="Times New Roman"/>
                <w:sz w:val="22"/>
                <w:szCs w:val="22"/>
                <w:shd w:fill="FFFFFF" w:val="clear"/>
              </w:rPr>
              <w:t>99,6</w:t>
            </w:r>
          </w:p>
        </w:tc>
        <w:tc>
          <w:tcPr>
            <w:tcW w:w="680" w:type="dxa"/>
            <w:tcBorders/>
            <w:shd w:fill="auto" w:val="clear"/>
          </w:tcPr>
          <w:p>
            <w:pPr>
              <w:pStyle w:val="Normal"/>
              <w:spacing w:lineRule="auto" w:line="228" w:before="0" w:after="0"/>
              <w:jc w:val="center"/>
              <w:rPr>
                <w:rFonts w:cs="Times New Roman"/>
                <w:sz w:val="22"/>
                <w:szCs w:val="22"/>
                <w:highlight w:val="white"/>
              </w:rPr>
            </w:pPr>
            <w:r>
              <w:rPr>
                <w:rFonts w:cs="Times New Roman"/>
                <w:sz w:val="22"/>
                <w:szCs w:val="22"/>
                <w:shd w:fill="FFFFFF" w:val="clear"/>
              </w:rPr>
              <w:t>100</w:t>
            </w:r>
          </w:p>
        </w:tc>
        <w:tc>
          <w:tcPr>
            <w:tcW w:w="682" w:type="dxa"/>
            <w:tcBorders/>
            <w:shd w:fill="auto" w:val="clear"/>
          </w:tcPr>
          <w:p>
            <w:pPr>
              <w:pStyle w:val="Normal"/>
              <w:spacing w:lineRule="auto" w:line="228" w:before="0" w:after="0"/>
              <w:jc w:val="center"/>
              <w:rPr>
                <w:rFonts w:cs="Times New Roman"/>
                <w:sz w:val="22"/>
                <w:szCs w:val="22"/>
                <w:highlight w:val="white"/>
              </w:rPr>
            </w:pPr>
            <w:r>
              <w:rPr>
                <w:rFonts w:cs="Times New Roman"/>
                <w:sz w:val="22"/>
                <w:szCs w:val="22"/>
                <w:shd w:fill="FFFFFF" w:val="clear"/>
              </w:rPr>
              <w:t>94,1</w:t>
            </w:r>
          </w:p>
        </w:tc>
      </w:tr>
    </w:tbl>
    <w:p>
      <w:pPr>
        <w:pStyle w:val="ListParagraph"/>
        <w:keepNext w:val="true"/>
        <w:ind w:left="0" w:hanging="0"/>
        <w:jc w:val="both"/>
        <w:rPr/>
      </w:pPr>
      <w:r>
        <w:rPr/>
        <w:drawing>
          <wp:inline distT="0" distB="0" distL="0" distR="0">
            <wp:extent cx="6186170" cy="3371215"/>
            <wp:effectExtent l="0" t="0" r="0" b="0"/>
            <wp:docPr id="2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Caption"/>
        <w:spacing w:before="0" w:after="0"/>
        <w:jc w:val="center"/>
        <w:rPr>
          <w:color w:val="auto"/>
          <w:sz w:val="28"/>
        </w:rPr>
      </w:pPr>
      <w:r>
        <w:rPr>
          <w:color w:val="auto"/>
          <w:sz w:val="28"/>
        </w:rPr>
        <w:t xml:space="preserve">Рисунок </w:t>
      </w:r>
      <w:r>
        <w:rPr>
          <w:sz w:val="28"/>
        </w:rPr>
        <w:fldChar w:fldCharType="begin"/>
      </w:r>
      <w:r>
        <w:rPr>
          <w:sz w:val="28"/>
        </w:rPr>
        <w:instrText> SEQ Рисунок \* ARABIC </w:instrText>
      </w:r>
      <w:r>
        <w:rPr>
          <w:sz w:val="28"/>
        </w:rPr>
        <w:fldChar w:fldCharType="separate"/>
      </w:r>
      <w:r>
        <w:rPr>
          <w:sz w:val="28"/>
        </w:rPr>
        <w:t>16</w:t>
      </w:r>
      <w:r>
        <w:rPr>
          <w:sz w:val="28"/>
        </w:rPr>
        <w:fldChar w:fldCharType="end"/>
      </w:r>
      <w:r>
        <w:rPr>
          <w:color w:val="auto"/>
          <w:sz w:val="28"/>
        </w:rPr>
        <w:t xml:space="preserve"> - Обеспеченность населения врачами и средним медицинским персоналом в Тереньгульском районе за 2008-2017 гг.</w:t>
      </w:r>
    </w:p>
    <w:p>
      <w:pPr>
        <w:pStyle w:val="ListParagraph"/>
        <w:ind w:left="0" w:firstLine="709"/>
        <w:jc w:val="both"/>
        <w:rPr>
          <w:rFonts w:cs="Times New Roman"/>
          <w:sz w:val="28"/>
          <w:szCs w:val="28"/>
        </w:rPr>
      </w:pPr>
      <w:r>
        <w:rPr>
          <w:rFonts w:cs="Times New Roman"/>
          <w:sz w:val="28"/>
          <w:szCs w:val="28"/>
        </w:rPr>
        <w:t>Отмечена положительная динамика обеспеченности населения врачами. С 2008 г. данный показатель вырос в 1,4 раза. Это позволило району занять 8 позицию среди муниципальных образований области. Укомплектованность врачами составила 64,1% в 2017 г. (максимальный показатель за 10 лет). В 2018 г. отмечается снижение укомплектованности врачами на 1,2% относительно показателя 2017 г.</w:t>
      </w:r>
    </w:p>
    <w:p>
      <w:pPr>
        <w:pStyle w:val="Normal"/>
        <w:ind w:firstLine="708"/>
        <w:jc w:val="both"/>
        <w:rPr>
          <w:rFonts w:cs="Times New Roman"/>
          <w:sz w:val="28"/>
          <w:szCs w:val="28"/>
        </w:rPr>
      </w:pPr>
      <w:r>
        <w:rPr>
          <w:rFonts w:cs="Times New Roman"/>
          <w:sz w:val="28"/>
          <w:szCs w:val="28"/>
        </w:rPr>
        <w:t>Отрицательная динамика обеспеченности населения средним медицинским персоналом по итогам 2017 г. привела район на 22 позицию из 24. Максимальная у</w:t>
      </w:r>
      <w:r>
        <w:rPr>
          <w:rFonts w:eastAsia="Calibri" w:cs="Times New Roman"/>
          <w:sz w:val="28"/>
          <w:szCs w:val="28"/>
          <w:shd w:fill="FFFFFF" w:val="clear"/>
        </w:rPr>
        <w:t>комплектованность средними медицинскими работниками составила 86,3% в 2010 г., в 2017 г. – 68,7%, в 2018 г. – 75,4%.</w:t>
      </w:r>
    </w:p>
    <w:p>
      <w:pPr>
        <w:pStyle w:val="ListParagraph"/>
        <w:ind w:left="0" w:firstLine="709"/>
        <w:jc w:val="both"/>
        <w:rPr>
          <w:rFonts w:cs="Times New Roman"/>
          <w:sz w:val="28"/>
          <w:szCs w:val="28"/>
        </w:rPr>
      </w:pPr>
      <w:r>
        <w:rPr>
          <w:rFonts w:cs="Times New Roman"/>
          <w:sz w:val="28"/>
          <w:szCs w:val="28"/>
        </w:rPr>
        <w:t>Потребность во врачах до 2030 г. составляет 17 человек, потребность в среднем медицинском персонале вдвое больше – 35 человек.</w:t>
      </w:r>
    </w:p>
    <w:p>
      <w:pPr>
        <w:pStyle w:val="ListParagraph"/>
        <w:ind w:left="0" w:firstLine="709"/>
        <w:jc w:val="both"/>
        <w:rPr>
          <w:rFonts w:cs="Times New Roman"/>
          <w:sz w:val="28"/>
          <w:szCs w:val="28"/>
        </w:rPr>
      </w:pPr>
      <w:r>
        <w:rPr>
          <w:rFonts w:cs="Times New Roman"/>
          <w:sz w:val="28"/>
          <w:szCs w:val="28"/>
        </w:rPr>
        <w:t>С целью сокращения кадрового дефицита реализуются меры социальной поддержки отдельных категорий молодых специалистов.</w:t>
      </w:r>
    </w:p>
    <w:p>
      <w:pPr>
        <w:pStyle w:val="ListParagraph"/>
        <w:ind w:left="0" w:firstLine="709"/>
        <w:jc w:val="both"/>
        <w:rPr>
          <w:rFonts w:cs="Times New Roman"/>
          <w:sz w:val="28"/>
          <w:szCs w:val="28"/>
        </w:rPr>
      </w:pPr>
      <w:r>
        <w:rPr>
          <w:rFonts w:cs="Times New Roman"/>
          <w:b/>
          <w:sz w:val="28"/>
          <w:szCs w:val="28"/>
        </w:rPr>
        <w:t>Уровень оплаты труда</w:t>
      </w:r>
      <w:r>
        <w:rPr>
          <w:rFonts w:cs="Times New Roman"/>
          <w:sz w:val="28"/>
          <w:szCs w:val="28"/>
        </w:rPr>
        <w:t>. В целях выполнения Указа Президента Российской Федерации от 07.05.2012 № 597 «О мероприятиях по реализации государственной социальной политики» в 2018 г.: уровень оплаты труда врачей был доведён до 48 361,27 руб. (197% от планового показателя 49 114 руб.), недовыполнение 3%, уровень оплаты труда среднего медицинского персонала составил 24 451,13 руб. (99,6% от целевого 24 557 руб.), младшего медицинского персонала – 23 520,05 руб. (95,8% от целевого 24 557 руб.).</w:t>
      </w:r>
    </w:p>
    <w:p>
      <w:pPr>
        <w:pStyle w:val="ListParagraph"/>
        <w:spacing w:before="100" w:after="100"/>
        <w:ind w:left="0" w:hanging="0"/>
        <w:contextualSpacing/>
        <w:jc w:val="center"/>
        <w:rPr>
          <w:b/>
          <w:b/>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10</w:t>
      </w:r>
      <w:r>
        <w:rPr>
          <w:sz w:val="28"/>
          <w:b/>
          <w:szCs w:val="28"/>
        </w:rPr>
        <w:fldChar w:fldCharType="end"/>
      </w:r>
      <w:r>
        <w:rPr>
          <w:b/>
          <w:sz w:val="28"/>
          <w:szCs w:val="28"/>
        </w:rPr>
        <w:t xml:space="preserve"> - </w:t>
      </w:r>
      <w:r>
        <w:rPr>
          <w:rFonts w:cs="Times New Roman"/>
          <w:b/>
          <w:sz w:val="28"/>
          <w:szCs w:val="28"/>
        </w:rPr>
        <w:t xml:space="preserve">Заболеваемость населения в Тереньгульском районе </w:t>
        <w:br/>
        <w:t>(в расчёте на 1000 населения) за 2008-2018 гг.</w:t>
      </w:r>
    </w:p>
    <w:tbl>
      <w:tblPr>
        <w:tblW w:w="9781" w:type="dxa"/>
        <w:jc w:val="left"/>
        <w:tblInd w:w="109" w:type="dxa"/>
        <w:tblCellMar>
          <w:top w:w="0" w:type="dxa"/>
          <w:left w:w="103" w:type="dxa"/>
          <w:bottom w:w="0" w:type="dxa"/>
          <w:right w:w="108" w:type="dxa"/>
        </w:tblCellMar>
        <w:tblLook w:noVBand="1" w:val="04a0" w:noHBand="0" w:lastColumn="0" w:firstColumn="1" w:lastRow="0" w:firstRow="1"/>
      </w:tblPr>
      <w:tblGrid>
        <w:gridCol w:w="2024"/>
        <w:gridCol w:w="705"/>
        <w:gridCol w:w="707"/>
        <w:gridCol w:w="705"/>
        <w:gridCol w:w="705"/>
        <w:gridCol w:w="705"/>
        <w:gridCol w:w="705"/>
        <w:gridCol w:w="706"/>
        <w:gridCol w:w="705"/>
        <w:gridCol w:w="705"/>
        <w:gridCol w:w="705"/>
        <w:gridCol w:w="703"/>
      </w:tblGrid>
      <w:tr>
        <w:trPr>
          <w:trHeight w:val="300"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18"/>
              <w:jc w:val="center"/>
              <w:rPr>
                <w:rFonts w:cs="Times New Roman"/>
                <w:sz w:val="20"/>
                <w:szCs w:val="20"/>
                <w:lang w:eastAsia="ru-RU"/>
              </w:rPr>
            </w:pPr>
            <w:r>
              <w:rPr>
                <w:rFonts w:cs="Times New Roman"/>
                <w:b/>
                <w:sz w:val="20"/>
                <w:szCs w:val="20"/>
              </w:rPr>
              <w:t>Наименование показателя</w:t>
            </w:r>
          </w:p>
        </w:tc>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2008</w:t>
            </w:r>
          </w:p>
        </w:tc>
        <w:tc>
          <w:tcPr>
            <w:tcW w:w="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2009</w:t>
            </w:r>
          </w:p>
        </w:tc>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2010</w:t>
            </w:r>
          </w:p>
        </w:tc>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2011</w:t>
            </w:r>
          </w:p>
        </w:tc>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2012</w:t>
            </w:r>
          </w:p>
        </w:tc>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2013</w:t>
            </w:r>
          </w:p>
        </w:tc>
        <w:tc>
          <w:tcPr>
            <w:tcW w:w="7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2014</w:t>
            </w:r>
          </w:p>
        </w:tc>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2015</w:t>
            </w:r>
          </w:p>
        </w:tc>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2016</w:t>
            </w:r>
          </w:p>
        </w:tc>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2017</w:t>
            </w:r>
          </w:p>
        </w:tc>
        <w:tc>
          <w:tcPr>
            <w:tcW w:w="7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2018</w:t>
            </w:r>
          </w:p>
        </w:tc>
      </w:tr>
      <w:tr>
        <w:trPr>
          <w:trHeight w:val="615"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Общая заболеваемость (болезненность)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1328,4</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1331,7</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1195,0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1327,9</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1384,7</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1373,1</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1258,8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1298,1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1262,0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1363,6</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1414,8</w:t>
            </w:r>
          </w:p>
        </w:tc>
      </w:tr>
      <w:tr>
        <w:trPr>
          <w:trHeight w:val="615"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Некоторые инфекционные и паразитарные болезни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34,8</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32,1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37,1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38,1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50,4</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45,9</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42,7</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44,0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46,8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49,1</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45,7</w:t>
            </w:r>
          </w:p>
        </w:tc>
      </w:tr>
      <w:tr>
        <w:trPr>
          <w:trHeight w:val="463"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Болезни системы кровообращения</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204,9</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223,2</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193,6</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207,7</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220,0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218,6</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205,3</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213,5</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207,8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218,2</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242,2</w:t>
            </w:r>
          </w:p>
        </w:tc>
      </w:tr>
      <w:tr>
        <w:trPr>
          <w:trHeight w:val="60"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Заболеваемость новообразованиями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28,7</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28,2</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33,1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34,1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39,0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37,3</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38,4</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41,1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32,1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36,8</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37,3</w:t>
            </w:r>
          </w:p>
        </w:tc>
      </w:tr>
      <w:tr>
        <w:trPr>
          <w:trHeight w:val="300"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pacing w:val="-4"/>
                <w:sz w:val="20"/>
                <w:szCs w:val="20"/>
                <w:lang w:eastAsia="ru-RU"/>
              </w:rPr>
            </w:pPr>
            <w:r>
              <w:rPr>
                <w:rFonts w:cs="Times New Roman"/>
                <w:spacing w:val="-4"/>
                <w:sz w:val="20"/>
                <w:szCs w:val="20"/>
                <w:lang w:eastAsia="ru-RU"/>
              </w:rPr>
              <w:t xml:space="preserve">Болезни эндокринной системы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103,3</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97,8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90,9</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91,5</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93,0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94,2</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94,8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98,7</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96,4</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112,4</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114,15</w:t>
            </w:r>
          </w:p>
        </w:tc>
      </w:tr>
      <w:tr>
        <w:trPr>
          <w:trHeight w:val="774"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Заболеваемость психическими заболеваниями и расстройствами поведения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22,9</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57,2</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55,6</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52,8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50,0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50,6</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49,3</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39,2</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43,6</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43,4</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40,9</w:t>
            </w:r>
          </w:p>
        </w:tc>
      </w:tr>
      <w:tr>
        <w:trPr>
          <w:trHeight w:val="300"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Болезни нервной системы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67,3</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45,5</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30,9</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44,0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52,3</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52,8</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41,5</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39,3</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25,8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29,6</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39,3</w:t>
            </w:r>
          </w:p>
        </w:tc>
      </w:tr>
      <w:tr>
        <w:trPr>
          <w:trHeight w:val="300"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pacing w:val="-2"/>
                <w:sz w:val="20"/>
                <w:szCs w:val="20"/>
                <w:lang w:eastAsia="ru-RU"/>
              </w:rPr>
            </w:pPr>
            <w:r>
              <w:rPr>
                <w:rFonts w:cs="Times New Roman"/>
                <w:spacing w:val="-2"/>
                <w:sz w:val="20"/>
                <w:szCs w:val="20"/>
                <w:lang w:eastAsia="ru-RU"/>
              </w:rPr>
              <w:t xml:space="preserve">Болезни органов дыхания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274,4</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310,0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256,1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299,1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309,9</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309,6</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260,8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253,1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271,3</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274,3</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300,2</w:t>
            </w:r>
          </w:p>
        </w:tc>
      </w:tr>
      <w:tr>
        <w:trPr>
          <w:trHeight w:val="60"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Болезни органов пищеварения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73,3</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73,2</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64,7</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76,1</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75,9</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72,4</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71,2</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70,0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64,6</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72,8</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72,1</w:t>
            </w:r>
          </w:p>
        </w:tc>
      </w:tr>
      <w:tr>
        <w:trPr>
          <w:trHeight w:val="300"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Болезни мочеполовой системы </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104,6</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80,9</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70,5</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80,3</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74,7</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73,7</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70,9</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80,0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94,5</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100,6</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97,2</w:t>
            </w:r>
          </w:p>
        </w:tc>
      </w:tr>
      <w:tr>
        <w:trPr>
          <w:trHeight w:val="60" w:hRule="atLeast"/>
        </w:trPr>
        <w:tc>
          <w:tcPr>
            <w:tcW w:w="20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Заболеваемость алкоголизмом на 100 000 нас.</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155,4</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151,8</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142,6</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117,7</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97,4</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115,0</w:t>
            </w:r>
          </w:p>
        </w:tc>
        <w:tc>
          <w:tcPr>
            <w:tcW w:w="70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127,4</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134,0</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202,6</w:t>
            </w:r>
          </w:p>
        </w:tc>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118,9</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110,3</w:t>
            </w:r>
          </w:p>
        </w:tc>
      </w:tr>
    </w:tbl>
    <w:p>
      <w:pPr>
        <w:pStyle w:val="ListParagraph"/>
        <w:keepNext w:val="true"/>
        <w:ind w:left="0" w:hanging="0"/>
        <w:jc w:val="center"/>
        <w:rPr/>
      </w:pPr>
      <w:r>
        <w:rPr/>
        <w:drawing>
          <wp:inline distT="0" distB="0" distL="0" distR="0">
            <wp:extent cx="5507355" cy="2384425"/>
            <wp:effectExtent l="0" t="0" r="0" b="0"/>
            <wp:docPr id="2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Caption"/>
        <w:spacing w:before="0" w:after="0"/>
        <w:jc w:val="center"/>
        <w:rPr>
          <w:color w:val="auto"/>
          <w:sz w:val="28"/>
        </w:rPr>
      </w:pPr>
      <w:r>
        <w:rPr>
          <w:color w:val="auto"/>
          <w:sz w:val="28"/>
        </w:rPr>
        <w:t xml:space="preserve">Рисунок </w:t>
      </w:r>
      <w:r>
        <w:rPr>
          <w:sz w:val="28"/>
        </w:rPr>
        <w:fldChar w:fldCharType="begin"/>
      </w:r>
      <w:r>
        <w:rPr>
          <w:sz w:val="28"/>
        </w:rPr>
        <w:instrText> SEQ Рисунок \* ARABIC </w:instrText>
      </w:r>
      <w:r>
        <w:rPr>
          <w:sz w:val="28"/>
        </w:rPr>
        <w:fldChar w:fldCharType="separate"/>
      </w:r>
      <w:r>
        <w:rPr>
          <w:sz w:val="28"/>
        </w:rPr>
        <w:t>17</w:t>
      </w:r>
      <w:r>
        <w:rPr>
          <w:sz w:val="28"/>
        </w:rPr>
        <w:fldChar w:fldCharType="end"/>
      </w:r>
      <w:r>
        <w:rPr>
          <w:color w:val="auto"/>
          <w:sz w:val="28"/>
        </w:rPr>
        <w:t xml:space="preserve"> - Общая заболеваемость населения </w:t>
      </w:r>
      <w:r>
        <w:rPr>
          <w:rFonts w:cs="Times New Roman"/>
          <w:color w:val="auto"/>
          <w:sz w:val="28"/>
          <w:szCs w:val="28"/>
        </w:rPr>
        <w:t>в Тереньгульском районе</w:t>
      </w:r>
      <w:r>
        <w:rPr>
          <w:color w:val="auto"/>
          <w:sz w:val="28"/>
        </w:rPr>
        <w:t xml:space="preserve"> </w:t>
        <w:br/>
        <w:t>(в расчёте на 1000 населения) за 2008-2018 гг.</w:t>
      </w:r>
    </w:p>
    <w:p>
      <w:pPr>
        <w:pStyle w:val="Normal"/>
        <w:rPr/>
      </w:pPr>
      <w:r>
        <w:rPr/>
      </w:r>
    </w:p>
    <w:p>
      <w:pPr>
        <w:pStyle w:val="ListParagraph"/>
        <w:ind w:left="0" w:firstLine="709"/>
        <w:jc w:val="both"/>
        <w:rPr>
          <w:rFonts w:cs="Times New Roman"/>
          <w:sz w:val="28"/>
          <w:szCs w:val="28"/>
        </w:rPr>
      </w:pPr>
      <w:r>
        <w:rPr>
          <w:rFonts w:cs="Times New Roman"/>
          <w:sz w:val="28"/>
          <w:szCs w:val="28"/>
        </w:rPr>
        <w:t xml:space="preserve">В течение 2008-2018 гг. прослеживается тенденция роста заболеваемости населения. Большая часть заболеваний приходится на </w:t>
      </w:r>
      <w:r>
        <w:rPr>
          <w:rFonts w:cs="Times New Roman"/>
          <w:b/>
          <w:sz w:val="28"/>
          <w:szCs w:val="28"/>
        </w:rPr>
        <w:t>новообразования, болезни системы кровообращения, алкоголизм,</w:t>
      </w:r>
      <w:r>
        <w:rPr>
          <w:rFonts w:cs="Times New Roman"/>
          <w:sz w:val="28"/>
          <w:szCs w:val="28"/>
        </w:rPr>
        <w:t xml:space="preserve"> болезни эндокринной и мочеполовой системы.</w:t>
      </w:r>
    </w:p>
    <w:p>
      <w:pPr>
        <w:pStyle w:val="Normal"/>
        <w:rPr/>
      </w:pPr>
      <w:r>
        <w:rPr/>
      </w:r>
    </w:p>
    <w:p>
      <w:pPr>
        <w:pStyle w:val="ListParagraph"/>
        <w:keepNext w:val="true"/>
        <w:ind w:left="0" w:hanging="0"/>
        <w:jc w:val="both"/>
        <w:rPr/>
      </w:pPr>
      <w:r>
        <w:rPr/>
        <w:drawing>
          <wp:inline distT="0" distB="0" distL="0" distR="0">
            <wp:extent cx="6011545" cy="3609975"/>
            <wp:effectExtent l="0" t="0" r="0" b="0"/>
            <wp:docPr id="2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18</w:t>
      </w:r>
      <w:r>
        <w:rPr>
          <w:sz w:val="28"/>
          <w:szCs w:val="28"/>
        </w:rPr>
        <w:fldChar w:fldCharType="end"/>
      </w:r>
      <w:r>
        <w:rPr>
          <w:color w:val="auto"/>
          <w:sz w:val="28"/>
          <w:szCs w:val="28"/>
        </w:rPr>
        <w:t xml:space="preserve"> - </w:t>
      </w:r>
      <w:r>
        <w:rPr>
          <w:rFonts w:cs="Times New Roman"/>
          <w:color w:val="auto"/>
          <w:sz w:val="28"/>
          <w:szCs w:val="28"/>
        </w:rPr>
        <w:t>Динамика</w:t>
      </w:r>
      <w:r>
        <w:rPr>
          <w:color w:val="auto"/>
          <w:sz w:val="28"/>
          <w:szCs w:val="28"/>
        </w:rPr>
        <w:t xml:space="preserve"> заболеваемости населения </w:t>
        <w:br/>
      </w:r>
      <w:r>
        <w:rPr>
          <w:rFonts w:cs="Times New Roman"/>
          <w:color w:val="auto"/>
          <w:sz w:val="28"/>
          <w:szCs w:val="28"/>
        </w:rPr>
        <w:t>в Тереньгульском районе за 2008-2018 гг.</w:t>
      </w:r>
    </w:p>
    <w:p>
      <w:pPr>
        <w:pStyle w:val="Normal"/>
        <w:rPr/>
      </w:pPr>
      <w:r>
        <w:rPr/>
      </w:r>
    </w:p>
    <w:p>
      <w:pPr>
        <w:pStyle w:val="ListParagraph"/>
        <w:ind w:left="0" w:firstLine="709"/>
        <w:jc w:val="both"/>
        <w:rPr>
          <w:rFonts w:cs="Times New Roman"/>
          <w:sz w:val="28"/>
          <w:szCs w:val="28"/>
        </w:rPr>
      </w:pPr>
      <w:r>
        <w:rPr>
          <w:rFonts w:cs="Times New Roman"/>
          <w:b/>
          <w:sz w:val="28"/>
          <w:szCs w:val="28"/>
        </w:rPr>
        <w:t>Обеспеченность лекарственными препаратами</w:t>
      </w:r>
      <w:r>
        <w:rPr>
          <w:rFonts w:cs="Times New Roman"/>
          <w:sz w:val="28"/>
          <w:szCs w:val="28"/>
        </w:rPr>
        <w:t xml:space="preserve"> ГУЗ «Тереньгульская районная больница» составляет в среднем 83,8%. Медицинские изделия (шприцы, системы, перевязочные средства, прочие расходные материалы) и лекарственные препараты для оказания экстренной медицинской помощи </w:t>
        <w:br/>
        <w:t>в стационаре имеются в наличии.</w:t>
      </w:r>
    </w:p>
    <w:p>
      <w:pPr>
        <w:pStyle w:val="ListParagraph"/>
        <w:ind w:left="0" w:firstLine="709"/>
        <w:jc w:val="both"/>
        <w:rPr>
          <w:rFonts w:cs="Times New Roman"/>
          <w:sz w:val="28"/>
          <w:szCs w:val="28"/>
        </w:rPr>
      </w:pPr>
      <w:r>
        <w:rPr>
          <w:rFonts w:cs="Times New Roman"/>
          <w:sz w:val="28"/>
          <w:szCs w:val="28"/>
        </w:rPr>
        <w:t xml:space="preserve">По результатам независимой оценки качества услуг в амбулаторных условиях ГУЗ «Тереньгульская районная больница» заняла 3 место среди 71 медицинской организации в Ульяновской области. Максимальный уровень удовлетворённости качеством оказания услуг, нарекания пациентов вызывает время ожидания предоставления услуги. По качеству оказания услуг </w:t>
        <w:br/>
        <w:t>в стационарных условиях ГУЗ «Тереньгульская районная больница» 8 место среди 55 медицинский организаций Ульяновской области. «Слабые звенья» – открытость, доступность информации – 11 из 14 баллов, комфортность условий предоставления услуг и доступность их получения – 15 баллов из 21. Большинство нареканий на необходимость приобретать лекарственные препараты, оплачивать назначенные диагностические исследования за свой счёт. 20% пациентов не удовлетворены качеством питания.</w:t>
      </w:r>
    </w:p>
    <w:p>
      <w:pPr>
        <w:pStyle w:val="ListParagraph"/>
        <w:ind w:left="0" w:firstLine="709"/>
        <w:jc w:val="both"/>
        <w:rPr>
          <w:rFonts w:cs="Times New Roman"/>
          <w:sz w:val="28"/>
          <w:szCs w:val="28"/>
        </w:rPr>
      </w:pPr>
      <w:r>
        <w:rPr>
          <w:rFonts w:cs="Times New Roman"/>
          <w:sz w:val="28"/>
          <w:szCs w:val="28"/>
        </w:rPr>
      </w:r>
    </w:p>
    <w:p>
      <w:pPr>
        <w:pStyle w:val="32"/>
        <w:rPr/>
      </w:pPr>
      <w:bookmarkStart w:id="18" w:name="_Toc2237195"/>
      <w:bookmarkStart w:id="19" w:name="_Toc4404994"/>
      <w:r>
        <w:rPr/>
        <w:t>1.5.4. Образование</w:t>
      </w:r>
      <w:bookmarkEnd w:id="18"/>
      <w:bookmarkEnd w:id="19"/>
    </w:p>
    <w:p>
      <w:pPr>
        <w:pStyle w:val="Normal"/>
        <w:ind w:firstLine="709"/>
        <w:jc w:val="both"/>
        <w:rPr>
          <w:rFonts w:cs="Times New Roman"/>
          <w:sz w:val="28"/>
          <w:szCs w:val="28"/>
          <w:lang w:eastAsia="zh-CN"/>
        </w:rPr>
      </w:pPr>
      <w:r>
        <w:rPr>
          <w:rFonts w:cs="Times New Roman"/>
          <w:sz w:val="28"/>
          <w:szCs w:val="28"/>
          <w:lang w:eastAsia="zh-CN"/>
        </w:rPr>
        <w:t xml:space="preserve">Система общего образования Тереньгульского района представлена </w:t>
        <w:br/>
      </w:r>
      <w:r>
        <w:rPr>
          <w:rFonts w:cs="Times New Roman"/>
          <w:b/>
          <w:sz w:val="28"/>
          <w:szCs w:val="28"/>
          <w:lang w:eastAsia="zh-CN"/>
        </w:rPr>
        <w:t>14 образовательными организациями,</w:t>
      </w:r>
      <w:r>
        <w:rPr>
          <w:rFonts w:cs="Times New Roman"/>
          <w:sz w:val="28"/>
          <w:szCs w:val="28"/>
          <w:lang w:eastAsia="zh-CN"/>
        </w:rPr>
        <w:t xml:space="preserve"> в том числе:</w:t>
      </w:r>
    </w:p>
    <w:p>
      <w:pPr>
        <w:pStyle w:val="Normal"/>
        <w:ind w:firstLine="709"/>
        <w:jc w:val="both"/>
        <w:rPr>
          <w:rFonts w:cs="Times New Roman"/>
          <w:sz w:val="28"/>
          <w:szCs w:val="28"/>
          <w:lang w:eastAsia="zh-CN"/>
        </w:rPr>
      </w:pPr>
      <w:r>
        <w:rPr>
          <w:rFonts w:cs="Times New Roman"/>
          <w:sz w:val="28"/>
          <w:szCs w:val="28"/>
          <w:lang w:eastAsia="zh-CN"/>
        </w:rPr>
        <w:t>3 – дошкольными образовательными учреждениями;</w:t>
      </w:r>
    </w:p>
    <w:p>
      <w:pPr>
        <w:pStyle w:val="Normal"/>
        <w:ind w:firstLine="709"/>
        <w:jc w:val="both"/>
        <w:rPr>
          <w:rFonts w:cs="Times New Roman"/>
          <w:sz w:val="28"/>
          <w:szCs w:val="28"/>
          <w:lang w:eastAsia="zh-CN"/>
        </w:rPr>
      </w:pPr>
      <w:r>
        <w:rPr>
          <w:rFonts w:cs="Times New Roman"/>
          <w:sz w:val="28"/>
          <w:szCs w:val="28"/>
          <w:lang w:eastAsia="zh-CN"/>
        </w:rPr>
        <w:t>9 – общеобразовательными учреждениями;</w:t>
      </w:r>
    </w:p>
    <w:p>
      <w:pPr>
        <w:pStyle w:val="Normal"/>
        <w:ind w:firstLine="709"/>
        <w:jc w:val="both"/>
        <w:rPr>
          <w:rFonts w:cs="Times New Roman"/>
          <w:sz w:val="28"/>
          <w:szCs w:val="28"/>
          <w:lang w:eastAsia="zh-CN"/>
        </w:rPr>
      </w:pPr>
      <w:r>
        <w:rPr>
          <w:rFonts w:cs="Times New Roman"/>
          <w:sz w:val="28"/>
          <w:szCs w:val="28"/>
          <w:lang w:eastAsia="zh-CN"/>
        </w:rPr>
        <w:t>3 – учреждениями дополнительного образования.</w:t>
      </w:r>
    </w:p>
    <w:p>
      <w:pPr>
        <w:pStyle w:val="Normal"/>
        <w:ind w:firstLine="709"/>
        <w:jc w:val="both"/>
        <w:rPr>
          <w:rFonts w:cs="Times New Roman"/>
          <w:sz w:val="28"/>
          <w:szCs w:val="28"/>
          <w:lang w:eastAsia="zh-CN"/>
        </w:rPr>
      </w:pPr>
      <w:r>
        <w:rPr>
          <w:rFonts w:cs="Times New Roman"/>
          <w:b/>
          <w:sz w:val="28"/>
          <w:szCs w:val="28"/>
          <w:lang w:eastAsia="zh-CN"/>
        </w:rPr>
        <w:t>Сеть дошкольных образовательных учреждений</w:t>
      </w:r>
      <w:r>
        <w:rPr>
          <w:rFonts w:cs="Times New Roman"/>
          <w:sz w:val="28"/>
          <w:szCs w:val="28"/>
          <w:lang w:eastAsia="zh-CN"/>
        </w:rPr>
        <w:t xml:space="preserve"> представлена следующими видами: 3 дошкольных образовательных учреждения, 2 филиала общеобразовательных организаций, в 5 общеобразовательных учреждениях имеются дошкольные группы, в 5 общеобразовательных учреждениях работают группы предшкольной подготовки.</w:t>
      </w:r>
    </w:p>
    <w:p>
      <w:pPr>
        <w:pStyle w:val="Normal"/>
        <w:ind w:firstLine="709"/>
        <w:jc w:val="both"/>
        <w:rPr>
          <w:rFonts w:cs="Times New Roman"/>
          <w:sz w:val="28"/>
          <w:szCs w:val="28"/>
          <w:lang w:eastAsia="zh-CN"/>
        </w:rPr>
      </w:pPr>
      <w:r>
        <w:rPr>
          <w:rFonts w:cs="Times New Roman"/>
          <w:sz w:val="28"/>
          <w:szCs w:val="28"/>
          <w:lang w:eastAsia="zh-CN"/>
        </w:rPr>
        <w:t>По состоянию на 01.11.2018 г. численность детей, получающих дошкольное образование, составляет 542 человека, из них 422 ребенка (78%) в возрасте от 3 до 7 лет, 85 человек (16%) – от 1,5 до 3-х лет. По потребности все семьи с детьми дошкольного возраста обеспечены местами в дошкольных образовательных организациях.</w:t>
      </w:r>
    </w:p>
    <w:p>
      <w:pPr>
        <w:pStyle w:val="Normal"/>
        <w:spacing w:before="120" w:after="120"/>
        <w:jc w:val="center"/>
        <w:rPr/>
      </w:pPr>
      <w:r>
        <w:rPr>
          <w:b/>
          <w:sz w:val="28"/>
        </w:rPr>
        <w:t xml:space="preserve">Таблица </w:t>
      </w:r>
      <w:r>
        <w:rPr>
          <w:b/>
          <w:sz w:val="28"/>
        </w:rPr>
        <w:fldChar w:fldCharType="begin"/>
      </w:r>
      <w:r>
        <w:rPr>
          <w:sz w:val="28"/>
          <w:b/>
        </w:rPr>
        <w:instrText> SEQ Таблица \* ARABIC </w:instrText>
      </w:r>
      <w:r>
        <w:rPr>
          <w:sz w:val="28"/>
          <w:b/>
        </w:rPr>
        <w:fldChar w:fldCharType="separate"/>
      </w:r>
      <w:r>
        <w:rPr>
          <w:sz w:val="28"/>
          <w:b/>
        </w:rPr>
        <w:t>11</w:t>
      </w:r>
      <w:r>
        <w:rPr>
          <w:sz w:val="28"/>
          <w:b/>
        </w:rPr>
        <w:fldChar w:fldCharType="end"/>
      </w:r>
      <w:r>
        <w:rPr>
          <w:b/>
          <w:sz w:val="28"/>
        </w:rPr>
        <w:t xml:space="preserve"> - </w:t>
      </w:r>
      <w:r>
        <w:rPr>
          <w:rFonts w:cs="Times New Roman"/>
          <w:b/>
          <w:sz w:val="28"/>
          <w:lang w:eastAsia="zh-CN"/>
        </w:rPr>
        <w:t>Динамика показателей, характеризующих развитие системы образования в Тереньгульском районе за 2008-2017 гг.</w:t>
      </w:r>
    </w:p>
    <w:tbl>
      <w:tblPr>
        <w:tblStyle w:val="af1"/>
        <w:tblW w:w="9885" w:type="dxa"/>
        <w:jc w:val="left"/>
        <w:tblInd w:w="0" w:type="dxa"/>
        <w:tblCellMar>
          <w:top w:w="0" w:type="dxa"/>
          <w:left w:w="108" w:type="dxa"/>
          <w:bottom w:w="0" w:type="dxa"/>
          <w:right w:w="108" w:type="dxa"/>
        </w:tblCellMar>
        <w:tblLook w:noVBand="1" w:val="04a0" w:noHBand="0" w:lastColumn="0" w:firstColumn="1" w:lastRow="0" w:firstRow="1"/>
      </w:tblPr>
      <w:tblGrid>
        <w:gridCol w:w="3087"/>
        <w:gridCol w:w="680"/>
        <w:gridCol w:w="680"/>
        <w:gridCol w:w="680"/>
        <w:gridCol w:w="680"/>
        <w:gridCol w:w="680"/>
        <w:gridCol w:w="680"/>
        <w:gridCol w:w="680"/>
        <w:gridCol w:w="680"/>
        <w:gridCol w:w="680"/>
        <w:gridCol w:w="676"/>
      </w:tblGrid>
      <w:tr>
        <w:trPr>
          <w:tblHeader w:val="true"/>
        </w:trPr>
        <w:tc>
          <w:tcPr>
            <w:tcW w:w="3087"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b/>
                <w:sz w:val="22"/>
                <w:szCs w:val="22"/>
              </w:rPr>
              <w:t>Наименование показателя</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2008</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2009</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2010</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2011</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2012</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2013</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2014</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2015</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2016</w:t>
            </w:r>
          </w:p>
        </w:tc>
        <w:tc>
          <w:tcPr>
            <w:tcW w:w="676"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2017</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Число организаций, осуществляющих образо-вательную деятельность по образовательным программам дошкольного образования, присмотр и уход за детьми</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7</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7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воспитанников в</w:t>
            </w:r>
            <w:r>
              <w:rPr>
                <w:rFonts w:cs="Times New Roman"/>
                <w:spacing w:val="-4"/>
                <w:sz w:val="22"/>
                <w:szCs w:val="22"/>
                <w:lang w:val="en-US"/>
              </w:rPr>
              <w:t> </w:t>
            </w:r>
            <w:r>
              <w:rPr>
                <w:rFonts w:cs="Times New Roman"/>
                <w:spacing w:val="-4"/>
                <w:sz w:val="22"/>
                <w:szCs w:val="22"/>
              </w:rPr>
              <w:t xml:space="preserve">организациях, осущест-вляющих образовательную деятельность по образо-вательным программам дошкольного образования, </w:t>
            </w:r>
            <w:r>
              <w:rPr>
                <w:rFonts w:cs="Times New Roman"/>
                <w:spacing w:val="-6"/>
                <w:sz w:val="22"/>
                <w:szCs w:val="22"/>
              </w:rPr>
              <w:t>присмотр и уход за детьми, чел.</w:t>
            </w:r>
          </w:p>
        </w:tc>
        <w:tc>
          <w:tcPr>
            <w:tcW w:w="680" w:type="dxa"/>
            <w:tcBorders/>
            <w:shd w:fill="auto" w:val="clear"/>
          </w:tcPr>
          <w:p>
            <w:pPr>
              <w:pStyle w:val="Normal"/>
              <w:spacing w:lineRule="auto" w:line="240" w:before="20" w:after="0"/>
              <w:ind w:right="-61" w:hanging="0"/>
              <w:jc w:val="center"/>
              <w:rPr>
                <w:rFonts w:cs="Times New Roman"/>
                <w:sz w:val="22"/>
                <w:szCs w:val="22"/>
              </w:rPr>
            </w:pPr>
            <w:r>
              <w:rPr>
                <w:rFonts w:cs="Times New Roman"/>
                <w:sz w:val="22"/>
                <w:szCs w:val="22"/>
              </w:rPr>
              <w:t>340</w:t>
            </w:r>
          </w:p>
        </w:tc>
        <w:tc>
          <w:tcPr>
            <w:tcW w:w="680" w:type="dxa"/>
            <w:tcBorders/>
            <w:shd w:fill="auto" w:val="clear"/>
          </w:tcPr>
          <w:p>
            <w:pPr>
              <w:pStyle w:val="Normal"/>
              <w:tabs>
                <w:tab w:val="clear" w:pos="708"/>
                <w:tab w:val="left" w:pos="464" w:leader="none"/>
              </w:tabs>
              <w:spacing w:lineRule="auto" w:line="240" w:before="20" w:after="0"/>
              <w:jc w:val="center"/>
              <w:rPr>
                <w:rFonts w:cs="Times New Roman"/>
                <w:sz w:val="22"/>
                <w:szCs w:val="22"/>
              </w:rPr>
            </w:pPr>
            <w:r>
              <w:rPr>
                <w:rFonts w:cs="Times New Roman"/>
                <w:sz w:val="22"/>
                <w:szCs w:val="22"/>
              </w:rPr>
              <w:t>360</w:t>
            </w:r>
          </w:p>
        </w:tc>
        <w:tc>
          <w:tcPr>
            <w:tcW w:w="680" w:type="dxa"/>
            <w:tcBorders/>
            <w:shd w:fill="auto" w:val="clear"/>
          </w:tcPr>
          <w:p>
            <w:pPr>
              <w:pStyle w:val="Normal"/>
              <w:tabs>
                <w:tab w:val="clear" w:pos="708"/>
                <w:tab w:val="left" w:pos="464" w:leader="none"/>
              </w:tabs>
              <w:spacing w:lineRule="auto" w:line="240" w:before="20" w:after="0"/>
              <w:ind w:right="23" w:hanging="0"/>
              <w:jc w:val="center"/>
              <w:rPr>
                <w:rFonts w:cs="Times New Roman"/>
                <w:sz w:val="22"/>
                <w:szCs w:val="22"/>
              </w:rPr>
            </w:pPr>
            <w:r>
              <w:rPr>
                <w:rFonts w:cs="Times New Roman"/>
                <w:sz w:val="22"/>
                <w:szCs w:val="22"/>
              </w:rPr>
              <w:t>354</w:t>
            </w:r>
          </w:p>
        </w:tc>
        <w:tc>
          <w:tcPr>
            <w:tcW w:w="680" w:type="dxa"/>
            <w:tcBorders/>
            <w:shd w:fill="auto" w:val="clear"/>
          </w:tcPr>
          <w:p>
            <w:pPr>
              <w:pStyle w:val="Normal"/>
              <w:tabs>
                <w:tab w:val="clear" w:pos="708"/>
                <w:tab w:val="left" w:pos="464" w:leader="none"/>
              </w:tabs>
              <w:spacing w:lineRule="auto" w:line="240" w:before="20" w:after="0"/>
              <w:jc w:val="center"/>
              <w:rPr>
                <w:rFonts w:cs="Times New Roman"/>
                <w:sz w:val="22"/>
                <w:szCs w:val="22"/>
              </w:rPr>
            </w:pPr>
            <w:r>
              <w:rPr>
                <w:rFonts w:cs="Times New Roman"/>
                <w:sz w:val="22"/>
                <w:szCs w:val="22"/>
              </w:rPr>
              <w:t>370</w:t>
            </w:r>
          </w:p>
        </w:tc>
        <w:tc>
          <w:tcPr>
            <w:tcW w:w="680" w:type="dxa"/>
            <w:tcBorders/>
            <w:shd w:fill="auto" w:val="clear"/>
          </w:tcPr>
          <w:p>
            <w:pPr>
              <w:pStyle w:val="Normal"/>
              <w:tabs>
                <w:tab w:val="clear" w:pos="708"/>
                <w:tab w:val="left" w:pos="464" w:leader="none"/>
              </w:tabs>
              <w:spacing w:lineRule="auto" w:line="240" w:before="20" w:after="0"/>
              <w:ind w:right="-35" w:hanging="0"/>
              <w:jc w:val="center"/>
              <w:rPr>
                <w:rFonts w:cs="Times New Roman"/>
                <w:sz w:val="22"/>
                <w:szCs w:val="22"/>
              </w:rPr>
            </w:pPr>
            <w:r>
              <w:rPr>
                <w:rFonts w:cs="Times New Roman"/>
                <w:sz w:val="22"/>
                <w:szCs w:val="22"/>
              </w:rPr>
              <w:t>379</w:t>
            </w:r>
          </w:p>
        </w:tc>
        <w:tc>
          <w:tcPr>
            <w:tcW w:w="680" w:type="dxa"/>
            <w:tcBorders/>
            <w:shd w:fill="auto" w:val="clear"/>
          </w:tcPr>
          <w:p>
            <w:pPr>
              <w:pStyle w:val="Normal"/>
              <w:tabs>
                <w:tab w:val="clear" w:pos="708"/>
                <w:tab w:val="left" w:pos="464" w:leader="none"/>
              </w:tabs>
              <w:spacing w:lineRule="auto" w:line="240" w:before="20" w:after="0"/>
              <w:jc w:val="center"/>
              <w:rPr>
                <w:rFonts w:cs="Times New Roman"/>
                <w:sz w:val="22"/>
                <w:szCs w:val="22"/>
              </w:rPr>
            </w:pPr>
            <w:r>
              <w:rPr>
                <w:rFonts w:cs="Times New Roman"/>
                <w:sz w:val="22"/>
                <w:szCs w:val="22"/>
              </w:rPr>
              <w:t>398</w:t>
            </w:r>
          </w:p>
        </w:tc>
        <w:tc>
          <w:tcPr>
            <w:tcW w:w="680" w:type="dxa"/>
            <w:tcBorders/>
            <w:shd w:fill="auto" w:val="clear"/>
          </w:tcPr>
          <w:p>
            <w:pPr>
              <w:pStyle w:val="Default"/>
              <w:tabs>
                <w:tab w:val="clear" w:pos="708"/>
                <w:tab w:val="left" w:pos="464" w:leader="none"/>
              </w:tabs>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460</w:t>
            </w:r>
          </w:p>
        </w:tc>
        <w:tc>
          <w:tcPr>
            <w:tcW w:w="680" w:type="dxa"/>
            <w:tcBorders/>
            <w:shd w:fill="auto" w:val="clear"/>
          </w:tcPr>
          <w:p>
            <w:pPr>
              <w:pStyle w:val="Default"/>
              <w:tabs>
                <w:tab w:val="clear" w:pos="708"/>
                <w:tab w:val="left" w:pos="464" w:leader="none"/>
              </w:tabs>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541</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544</w:t>
            </w:r>
          </w:p>
        </w:tc>
        <w:tc>
          <w:tcPr>
            <w:tcW w:w="67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543</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педагогических работников в дошкольных образовательных организациях, чел.</w:t>
            </w:r>
          </w:p>
        </w:tc>
        <w:tc>
          <w:tcPr>
            <w:tcW w:w="680" w:type="dxa"/>
            <w:tcBorders/>
            <w:shd w:fill="auto" w:val="clear"/>
          </w:tcPr>
          <w:p>
            <w:pPr>
              <w:pStyle w:val="Normal"/>
              <w:spacing w:lineRule="auto" w:line="240" w:before="0" w:after="0"/>
              <w:ind w:right="-61" w:hanging="0"/>
              <w:jc w:val="center"/>
              <w:rPr>
                <w:rFonts w:cs="Times New Roman"/>
                <w:sz w:val="22"/>
                <w:szCs w:val="22"/>
              </w:rPr>
            </w:pPr>
            <w:r>
              <w:rPr>
                <w:rFonts w:cs="Times New Roman"/>
                <w:sz w:val="22"/>
                <w:szCs w:val="22"/>
              </w:rPr>
              <w:t>35</w:t>
            </w:r>
          </w:p>
        </w:tc>
        <w:tc>
          <w:tcPr>
            <w:tcW w:w="680" w:type="dxa"/>
            <w:tcBorders/>
            <w:shd w:fill="auto" w:val="clear"/>
          </w:tcPr>
          <w:p>
            <w:pPr>
              <w:pStyle w:val="Normal"/>
              <w:tabs>
                <w:tab w:val="clear" w:pos="708"/>
                <w:tab w:val="left" w:pos="464" w:leader="none"/>
              </w:tabs>
              <w:spacing w:lineRule="auto" w:line="240" w:before="0" w:after="0"/>
              <w:jc w:val="center"/>
              <w:rPr>
                <w:rFonts w:cs="Times New Roman"/>
                <w:sz w:val="22"/>
                <w:szCs w:val="22"/>
              </w:rPr>
            </w:pPr>
            <w:r>
              <w:rPr>
                <w:rFonts w:cs="Times New Roman"/>
                <w:sz w:val="22"/>
                <w:szCs w:val="22"/>
              </w:rPr>
              <w:t>35</w:t>
            </w:r>
          </w:p>
        </w:tc>
        <w:tc>
          <w:tcPr>
            <w:tcW w:w="680" w:type="dxa"/>
            <w:tcBorders/>
            <w:shd w:fill="auto" w:val="clear"/>
          </w:tcPr>
          <w:p>
            <w:pPr>
              <w:pStyle w:val="Normal"/>
              <w:tabs>
                <w:tab w:val="clear" w:pos="708"/>
                <w:tab w:val="left" w:pos="464" w:leader="none"/>
              </w:tabs>
              <w:spacing w:lineRule="auto" w:line="240" w:before="0" w:after="0"/>
              <w:ind w:right="23" w:hanging="0"/>
              <w:jc w:val="center"/>
              <w:rPr>
                <w:rFonts w:cs="Times New Roman"/>
                <w:sz w:val="22"/>
                <w:szCs w:val="22"/>
              </w:rPr>
            </w:pPr>
            <w:r>
              <w:rPr>
                <w:rFonts w:cs="Times New Roman"/>
                <w:sz w:val="22"/>
                <w:szCs w:val="22"/>
              </w:rPr>
              <w:t>35</w:t>
            </w:r>
          </w:p>
        </w:tc>
        <w:tc>
          <w:tcPr>
            <w:tcW w:w="680" w:type="dxa"/>
            <w:tcBorders/>
            <w:shd w:fill="auto" w:val="clear"/>
          </w:tcPr>
          <w:p>
            <w:pPr>
              <w:pStyle w:val="Normal"/>
              <w:tabs>
                <w:tab w:val="clear" w:pos="708"/>
                <w:tab w:val="left" w:pos="464" w:leader="none"/>
              </w:tabs>
              <w:spacing w:lineRule="auto" w:line="240" w:before="0" w:after="0"/>
              <w:jc w:val="center"/>
              <w:rPr>
                <w:rFonts w:cs="Times New Roman"/>
                <w:sz w:val="22"/>
                <w:szCs w:val="22"/>
              </w:rPr>
            </w:pPr>
            <w:r>
              <w:rPr>
                <w:rFonts w:cs="Times New Roman"/>
                <w:sz w:val="22"/>
                <w:szCs w:val="22"/>
              </w:rPr>
              <w:t>35</w:t>
            </w:r>
          </w:p>
        </w:tc>
        <w:tc>
          <w:tcPr>
            <w:tcW w:w="680" w:type="dxa"/>
            <w:tcBorders/>
            <w:shd w:fill="auto" w:val="clear"/>
          </w:tcPr>
          <w:p>
            <w:pPr>
              <w:pStyle w:val="Normal"/>
              <w:tabs>
                <w:tab w:val="clear" w:pos="708"/>
                <w:tab w:val="left" w:pos="464" w:leader="none"/>
              </w:tabs>
              <w:spacing w:lineRule="auto" w:line="240" w:before="0" w:after="0"/>
              <w:ind w:right="-35" w:hanging="0"/>
              <w:jc w:val="center"/>
              <w:rPr>
                <w:rFonts w:cs="Times New Roman"/>
                <w:sz w:val="22"/>
                <w:szCs w:val="22"/>
              </w:rPr>
            </w:pPr>
            <w:r>
              <w:rPr>
                <w:rFonts w:cs="Times New Roman"/>
                <w:sz w:val="22"/>
                <w:szCs w:val="22"/>
              </w:rPr>
              <w:t>35</w:t>
            </w:r>
          </w:p>
        </w:tc>
        <w:tc>
          <w:tcPr>
            <w:tcW w:w="680" w:type="dxa"/>
            <w:tcBorders/>
            <w:shd w:fill="auto" w:val="clear"/>
          </w:tcPr>
          <w:p>
            <w:pPr>
              <w:pStyle w:val="Normal"/>
              <w:tabs>
                <w:tab w:val="clear" w:pos="708"/>
                <w:tab w:val="left" w:pos="464" w:leader="none"/>
              </w:tabs>
              <w:spacing w:lineRule="auto" w:line="240" w:before="0" w:after="0"/>
              <w:jc w:val="center"/>
              <w:rPr>
                <w:rFonts w:cs="Times New Roman"/>
                <w:sz w:val="22"/>
                <w:szCs w:val="22"/>
              </w:rPr>
            </w:pPr>
            <w:r>
              <w:rPr>
                <w:rFonts w:cs="Times New Roman"/>
                <w:sz w:val="22"/>
                <w:szCs w:val="22"/>
              </w:rPr>
              <w:t>35</w:t>
            </w:r>
          </w:p>
        </w:tc>
        <w:tc>
          <w:tcPr>
            <w:tcW w:w="680" w:type="dxa"/>
            <w:tcBorders/>
            <w:shd w:fill="auto" w:val="clear"/>
          </w:tcPr>
          <w:p>
            <w:pPr>
              <w:pStyle w:val="Normal"/>
              <w:tabs>
                <w:tab w:val="clear" w:pos="708"/>
                <w:tab w:val="left" w:pos="464" w:leader="none"/>
              </w:tabs>
              <w:spacing w:lineRule="auto" w:line="240" w:before="0" w:after="0"/>
              <w:jc w:val="center"/>
              <w:rPr>
                <w:rFonts w:cs="Times New Roman"/>
                <w:sz w:val="22"/>
                <w:szCs w:val="22"/>
              </w:rPr>
            </w:pPr>
            <w:r>
              <w:rPr>
                <w:rFonts w:cs="Times New Roman"/>
                <w:sz w:val="22"/>
                <w:szCs w:val="22"/>
              </w:rPr>
              <w:t>33</w:t>
            </w:r>
          </w:p>
        </w:tc>
        <w:tc>
          <w:tcPr>
            <w:tcW w:w="680" w:type="dxa"/>
            <w:tcBorders/>
            <w:shd w:fill="auto" w:val="clear"/>
          </w:tcPr>
          <w:p>
            <w:pPr>
              <w:pStyle w:val="Normal"/>
              <w:tabs>
                <w:tab w:val="clear" w:pos="708"/>
                <w:tab w:val="left" w:pos="464" w:leader="none"/>
              </w:tabs>
              <w:spacing w:lineRule="auto" w:line="240" w:before="0" w:after="0"/>
              <w:jc w:val="center"/>
              <w:rPr>
                <w:rFonts w:cs="Times New Roman"/>
                <w:sz w:val="22"/>
                <w:szCs w:val="22"/>
              </w:rPr>
            </w:pPr>
            <w:r>
              <w:rPr>
                <w:rFonts w:cs="Times New Roman"/>
                <w:sz w:val="22"/>
                <w:szCs w:val="22"/>
              </w:rPr>
              <w:t>33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33</w:t>
            </w:r>
          </w:p>
        </w:tc>
        <w:tc>
          <w:tcPr>
            <w:tcW w:w="676" w:type="dxa"/>
            <w:tcBorders/>
            <w:shd w:fill="auto" w:val="clear"/>
          </w:tcPr>
          <w:p>
            <w:pPr>
              <w:pStyle w:val="Normal"/>
              <w:spacing w:lineRule="auto" w:line="240" w:before="0" w:after="0"/>
              <w:jc w:val="center"/>
              <w:rPr>
                <w:rFonts w:cs="Times New Roman"/>
                <w:sz w:val="22"/>
                <w:szCs w:val="22"/>
              </w:rPr>
            </w:pPr>
            <w:r>
              <w:rPr>
                <w:rFonts w:cs="Times New Roman"/>
                <w:sz w:val="22"/>
                <w:szCs w:val="22"/>
              </w:rPr>
              <w:t>33</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Число общеобразовательных организаций, ед.</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9</w:t>
            </w:r>
          </w:p>
        </w:tc>
        <w:tc>
          <w:tcPr>
            <w:tcW w:w="676" w:type="dxa"/>
            <w:tcBorders/>
            <w:shd w:fill="auto" w:val="clear"/>
          </w:tcPr>
          <w:p>
            <w:pPr>
              <w:pStyle w:val="Normal"/>
              <w:spacing w:lineRule="auto" w:line="240" w:before="0" w:after="0"/>
              <w:jc w:val="center"/>
              <w:rPr>
                <w:rFonts w:cs="Times New Roman"/>
                <w:sz w:val="22"/>
                <w:szCs w:val="22"/>
              </w:rPr>
            </w:pPr>
            <w:r>
              <w:rPr>
                <w:rFonts w:cs="Times New Roman"/>
                <w:sz w:val="22"/>
                <w:szCs w:val="22"/>
              </w:rPr>
              <w:t>9</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учащихся в</w:t>
            </w:r>
            <w:r>
              <w:rPr>
                <w:rFonts w:cs="Times New Roman"/>
                <w:spacing w:val="-4"/>
                <w:sz w:val="22"/>
                <w:szCs w:val="22"/>
                <w:lang w:val="en-US"/>
              </w:rPr>
              <w:t> </w:t>
            </w:r>
            <w:r>
              <w:rPr>
                <w:rFonts w:cs="Times New Roman"/>
                <w:spacing w:val="-4"/>
                <w:sz w:val="22"/>
                <w:szCs w:val="22"/>
              </w:rPr>
              <w:t>общеобразовательных организациях, чел.</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1908</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1840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1742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1712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1657</w:t>
            </w:r>
          </w:p>
        </w:tc>
        <w:tc>
          <w:tcPr>
            <w:tcW w:w="680" w:type="dxa"/>
            <w:tcBorders/>
            <w:shd w:fill="auto" w:val="clear"/>
          </w:tcPr>
          <w:p>
            <w:pPr>
              <w:pStyle w:val="Normal"/>
              <w:spacing w:lineRule="auto" w:line="240" w:before="0" w:after="0"/>
              <w:contextualSpacing/>
              <w:jc w:val="center"/>
              <w:rPr>
                <w:rFonts w:cs="Times New Roman"/>
                <w:sz w:val="22"/>
                <w:szCs w:val="22"/>
              </w:rPr>
            </w:pPr>
            <w:r>
              <w:rPr>
                <w:rFonts w:cs="Times New Roman"/>
                <w:sz w:val="22"/>
                <w:szCs w:val="22"/>
              </w:rPr>
              <w:t>1529</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1452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1429</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1408</w:t>
            </w:r>
          </w:p>
        </w:tc>
        <w:tc>
          <w:tcPr>
            <w:tcW w:w="676" w:type="dxa"/>
            <w:tcBorders/>
            <w:shd w:fill="auto" w:val="clear"/>
          </w:tcPr>
          <w:p>
            <w:pPr>
              <w:pStyle w:val="Normal"/>
              <w:spacing w:lineRule="auto" w:line="240" w:before="0" w:after="0"/>
              <w:jc w:val="center"/>
              <w:rPr>
                <w:rFonts w:cs="Times New Roman"/>
                <w:sz w:val="22"/>
                <w:szCs w:val="22"/>
              </w:rPr>
            </w:pPr>
            <w:r>
              <w:rPr>
                <w:rFonts w:cs="Times New Roman"/>
                <w:sz w:val="22"/>
                <w:szCs w:val="22"/>
              </w:rPr>
              <w:t>1387</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учителей в</w:t>
            </w:r>
            <w:r>
              <w:rPr>
                <w:rFonts w:cs="Times New Roman"/>
                <w:spacing w:val="-4"/>
                <w:sz w:val="22"/>
                <w:szCs w:val="22"/>
                <w:lang w:val="en-US"/>
              </w:rPr>
              <w:t> </w:t>
            </w:r>
            <w:r>
              <w:rPr>
                <w:rFonts w:cs="Times New Roman"/>
                <w:spacing w:val="-4"/>
                <w:sz w:val="22"/>
                <w:szCs w:val="22"/>
              </w:rPr>
              <w:t>общеобразовательных организациях, чел.</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270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258</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219</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214</w:t>
            </w:r>
          </w:p>
        </w:tc>
        <w:tc>
          <w:tcPr>
            <w:tcW w:w="680" w:type="dxa"/>
            <w:tcBorders/>
            <w:shd w:fill="auto" w:val="clear"/>
          </w:tcPr>
          <w:p>
            <w:pPr>
              <w:pStyle w:val="Normal"/>
              <w:spacing w:lineRule="auto" w:line="240" w:before="0" w:after="0"/>
              <w:jc w:val="center"/>
              <w:rPr>
                <w:rFonts w:cs="Times New Roman"/>
                <w:sz w:val="22"/>
                <w:szCs w:val="22"/>
                <w:lang w:val="en-US"/>
              </w:rPr>
            </w:pPr>
            <w:r>
              <w:rPr>
                <w:rFonts w:cs="Times New Roman"/>
                <w:sz w:val="22"/>
                <w:szCs w:val="22"/>
                <w:lang w:val="en-US"/>
              </w:rPr>
              <w:t>199</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230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212</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212</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228</w:t>
            </w:r>
          </w:p>
        </w:tc>
        <w:tc>
          <w:tcPr>
            <w:tcW w:w="67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243</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Доля общеобразовательных организаций, в которых создана безбарьерная среда, %</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31</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31</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50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100</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100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100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100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100</w:t>
            </w:r>
          </w:p>
        </w:tc>
        <w:tc>
          <w:tcPr>
            <w:tcW w:w="67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100</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Доля общеобразовательных организаций, в которых реализуется дистанционное образование</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31</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31</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31</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31</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44</w:t>
            </w:r>
          </w:p>
        </w:tc>
        <w:tc>
          <w:tcPr>
            <w:tcW w:w="67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44</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Число образовательных организаций дополнительного образования детей, ед.</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7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3087"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учащихся в</w:t>
            </w:r>
            <w:r>
              <w:rPr>
                <w:rFonts w:cs="Times New Roman"/>
                <w:spacing w:val="-4"/>
                <w:sz w:val="22"/>
                <w:szCs w:val="22"/>
                <w:lang w:val="en-US"/>
              </w:rPr>
              <w:t> </w:t>
            </w:r>
            <w:r>
              <w:rPr>
                <w:rFonts w:cs="Times New Roman"/>
                <w:spacing w:val="-4"/>
                <w:sz w:val="22"/>
                <w:szCs w:val="22"/>
              </w:rPr>
              <w:t>образовательных организациях дополнительного образования детей, чел.</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432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435</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440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442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445</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450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455</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460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467</w:t>
            </w:r>
          </w:p>
        </w:tc>
        <w:tc>
          <w:tcPr>
            <w:tcW w:w="67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426</w:t>
            </w:r>
          </w:p>
        </w:tc>
      </w:tr>
    </w:tbl>
    <w:p>
      <w:pPr>
        <w:pStyle w:val="Normal"/>
        <w:ind w:firstLine="709"/>
        <w:jc w:val="both"/>
        <w:rPr>
          <w:rFonts w:cs="Times New Roman"/>
          <w:b/>
          <w:b/>
          <w:sz w:val="28"/>
          <w:szCs w:val="28"/>
          <w:lang w:eastAsia="zh-CN"/>
        </w:rPr>
      </w:pPr>
      <w:r>
        <w:rPr>
          <w:rFonts w:cs="Times New Roman"/>
          <w:b/>
          <w:sz w:val="28"/>
          <w:szCs w:val="28"/>
          <w:lang w:eastAsia="zh-CN"/>
        </w:rPr>
      </w:r>
    </w:p>
    <w:p>
      <w:pPr>
        <w:pStyle w:val="Normal"/>
        <w:ind w:firstLine="709"/>
        <w:jc w:val="both"/>
        <w:rPr>
          <w:rFonts w:cs="Times New Roman"/>
          <w:sz w:val="28"/>
          <w:szCs w:val="28"/>
          <w:lang w:eastAsia="zh-CN"/>
        </w:rPr>
      </w:pPr>
      <w:r>
        <w:rPr>
          <w:rFonts w:cs="Times New Roman"/>
          <w:b/>
          <w:sz w:val="28"/>
          <w:szCs w:val="28"/>
          <w:lang w:eastAsia="zh-CN"/>
        </w:rPr>
        <w:t>Здания дошкольных образовательных организаций, находящихся в</w:t>
      </w:r>
      <w:r>
        <w:rPr>
          <w:rFonts w:cs="Times New Roman"/>
          <w:b/>
          <w:sz w:val="28"/>
          <w:szCs w:val="28"/>
          <w:lang w:val="en-US" w:eastAsia="zh-CN"/>
        </w:rPr>
        <w:t> </w:t>
      </w:r>
      <w:r>
        <w:rPr>
          <w:rFonts w:cs="Times New Roman"/>
          <w:b/>
          <w:sz w:val="28"/>
          <w:szCs w:val="28"/>
          <w:lang w:eastAsia="zh-CN"/>
        </w:rPr>
        <w:t>нормативном состоянии.</w:t>
      </w:r>
      <w:r>
        <w:rPr>
          <w:rFonts w:cs="Times New Roman"/>
          <w:sz w:val="28"/>
          <w:szCs w:val="28"/>
          <w:lang w:eastAsia="zh-CN"/>
        </w:rPr>
        <w:t xml:space="preserve"> Ввод в эксплуатацию новых зданий детских садов на</w:t>
      </w:r>
      <w:r>
        <w:rPr>
          <w:rFonts w:cs="Times New Roman"/>
          <w:sz w:val="28"/>
          <w:szCs w:val="28"/>
          <w:lang w:val="en-US" w:eastAsia="zh-CN"/>
        </w:rPr>
        <w:t> </w:t>
      </w:r>
      <w:r>
        <w:rPr>
          <w:rFonts w:cs="Times New Roman"/>
          <w:sz w:val="28"/>
          <w:szCs w:val="28"/>
          <w:lang w:eastAsia="zh-CN"/>
        </w:rPr>
        <w:t>115 мест в с. Ясашная Ташла и с. Подкуровка позволил решить проблему с</w:t>
      </w:r>
      <w:r>
        <w:rPr>
          <w:rFonts w:cs="Times New Roman"/>
          <w:sz w:val="28"/>
          <w:szCs w:val="28"/>
          <w:lang w:val="en-US" w:eastAsia="zh-CN"/>
        </w:rPr>
        <w:t> </w:t>
      </w:r>
      <w:r>
        <w:rPr>
          <w:rFonts w:cs="Times New Roman"/>
          <w:sz w:val="28"/>
          <w:szCs w:val="28"/>
          <w:lang w:eastAsia="zh-CN"/>
        </w:rPr>
        <w:t>очерёдностью в детские сады для детей от 3 до 7 лет и обеспечил 100% охват предоставления услуги для детей данной возрастной категории.</w:t>
      </w:r>
    </w:p>
    <w:p>
      <w:pPr>
        <w:pStyle w:val="Normal"/>
        <w:ind w:firstLine="709"/>
        <w:jc w:val="both"/>
        <w:rPr>
          <w:rFonts w:cs="Times New Roman"/>
          <w:sz w:val="28"/>
          <w:szCs w:val="28"/>
          <w:lang w:eastAsia="zh-CN"/>
        </w:rPr>
      </w:pPr>
      <w:r>
        <w:rPr>
          <w:rFonts w:cs="Times New Roman"/>
          <w:sz w:val="28"/>
          <w:szCs w:val="28"/>
          <w:lang w:eastAsia="zh-CN"/>
        </w:rPr>
        <w:t>Общая численность работников дошкольных образовательных организаций – 90 человек, в том числе педагогических работников – 41 человек (46%). Высшее педагогическое образование имеют 9 работников (10% от общей численности работников и 22% от педагогического состава), 32 человека – среднее профессиональное образование (36% от общей численности и 78% педагогического состава). Доля молодых специалистов моложе 30 лет составляет 12% (5 человек) педагогического состава, старше 55 лет – 15% (6</w:t>
      </w:r>
      <w:r>
        <w:rPr>
          <w:rFonts w:cs="Times New Roman"/>
          <w:sz w:val="28"/>
          <w:szCs w:val="28"/>
          <w:lang w:val="en-US" w:eastAsia="zh-CN"/>
        </w:rPr>
        <w:t> </w:t>
      </w:r>
      <w:r>
        <w:rPr>
          <w:rFonts w:cs="Times New Roman"/>
          <w:sz w:val="28"/>
          <w:szCs w:val="28"/>
          <w:lang w:eastAsia="zh-CN"/>
        </w:rPr>
        <w:t>человек). Укомплектованность педагогическими работниками составляет 100%.</w:t>
      </w:r>
    </w:p>
    <w:p>
      <w:pPr>
        <w:pStyle w:val="Normal"/>
        <w:ind w:firstLine="709"/>
        <w:jc w:val="both"/>
        <w:rPr>
          <w:rFonts w:cs="Times New Roman"/>
          <w:sz w:val="28"/>
          <w:szCs w:val="28"/>
          <w:lang w:eastAsia="zh-CN"/>
        </w:rPr>
      </w:pPr>
      <w:r>
        <w:rPr>
          <w:rFonts w:cs="Times New Roman"/>
          <w:sz w:val="28"/>
          <w:szCs w:val="28"/>
          <w:lang w:eastAsia="zh-CN"/>
        </w:rPr>
        <w:t>По результатам независимой оценки качества услуг уровень удовлетворённости качеством услуг в дошкольных образовательных организациях составляет 76-77%. Тем не менее, стоит обратить внимание на</w:t>
      </w:r>
      <w:r>
        <w:rPr>
          <w:rFonts w:cs="Times New Roman"/>
          <w:sz w:val="28"/>
          <w:szCs w:val="28"/>
          <w:lang w:val="en-US" w:eastAsia="zh-CN"/>
        </w:rPr>
        <w:t> </w:t>
      </w:r>
      <w:r>
        <w:rPr>
          <w:rFonts w:cs="Times New Roman"/>
          <w:sz w:val="28"/>
          <w:szCs w:val="28"/>
          <w:lang w:eastAsia="zh-CN"/>
        </w:rPr>
        <w:t xml:space="preserve">открытость и доступность информации, взаимодействие с получателями услуг (степень удовлетворённости – 50%), комфортность условий предоставления услуг и их доступность (степень удовлетворённости – 40%) </w:t>
        <w:br/>
        <w:t>в Детском саду «Солнышко».</w:t>
      </w:r>
    </w:p>
    <w:p>
      <w:pPr>
        <w:pStyle w:val="Normal"/>
        <w:ind w:firstLine="709"/>
        <w:jc w:val="both"/>
        <w:rPr>
          <w:rFonts w:cs="Times New Roman"/>
          <w:bCs/>
          <w:sz w:val="28"/>
          <w:szCs w:val="28"/>
          <w:lang w:eastAsia="zh-CN"/>
        </w:rPr>
      </w:pPr>
      <w:r>
        <w:rPr>
          <w:rFonts w:cs="Times New Roman"/>
          <w:b/>
          <w:sz w:val="28"/>
          <w:szCs w:val="28"/>
          <w:lang w:eastAsia="zh-CN"/>
        </w:rPr>
        <w:t>Среди общеобразовательных учреждений</w:t>
      </w:r>
      <w:r>
        <w:rPr>
          <w:rFonts w:cs="Times New Roman"/>
          <w:sz w:val="28"/>
          <w:szCs w:val="28"/>
          <w:lang w:eastAsia="zh-CN"/>
        </w:rPr>
        <w:t xml:space="preserve"> 8 – средние школы, из них одна является </w:t>
      </w:r>
      <w:r>
        <w:rPr>
          <w:rFonts w:cs="Times New Roman"/>
          <w:i/>
          <w:sz w:val="28"/>
          <w:szCs w:val="28"/>
          <w:lang w:eastAsia="zh-CN"/>
        </w:rPr>
        <w:t>малокомплектной</w:t>
      </w:r>
      <w:r>
        <w:rPr>
          <w:rFonts w:cs="Times New Roman"/>
          <w:sz w:val="28"/>
          <w:szCs w:val="28"/>
          <w:lang w:eastAsia="zh-CN"/>
        </w:rPr>
        <w:t xml:space="preserve"> (МОУ Красноборская СОШ), 1 школа (МОУ Тереньгульский лицей при УГТУ) имеет 1 филиал – Тумкинская ООШ; 1 школа (МОУ Байдулинская СОШ) имеет 2 филиала дошкольных образовательных организаций, 1 – основная школа (МОУ Зеленецкая СОШ). Две общеобразовательных школы работают </w:t>
      </w:r>
      <w:r>
        <w:rPr>
          <w:rFonts w:cs="Times New Roman"/>
          <w:i/>
          <w:sz w:val="28"/>
          <w:szCs w:val="28"/>
          <w:lang w:eastAsia="zh-CN"/>
        </w:rPr>
        <w:t>по профильным учебным программам:</w:t>
      </w:r>
      <w:r>
        <w:rPr>
          <w:rFonts w:cs="Times New Roman"/>
          <w:bCs/>
          <w:i/>
          <w:sz w:val="28"/>
          <w:szCs w:val="28"/>
          <w:lang w:eastAsia="zh-CN"/>
        </w:rPr>
        <w:t xml:space="preserve"> </w:t>
      </w:r>
      <w:r>
        <w:rPr>
          <w:rFonts w:cs="Times New Roman"/>
          <w:sz w:val="28"/>
          <w:szCs w:val="28"/>
          <w:lang w:eastAsia="zh-CN"/>
        </w:rPr>
        <w:t>МОУ Тереньгульский лицей при УГТУ (физико-биологический и </w:t>
      </w:r>
      <w:r>
        <w:rPr>
          <w:rFonts w:cs="Times New Roman"/>
          <w:bCs/>
          <w:sz w:val="28"/>
          <w:szCs w:val="28"/>
          <w:lang w:eastAsia="zh-CN"/>
        </w:rPr>
        <w:t>физико-математический профили)</w:t>
      </w:r>
      <w:r>
        <w:rPr>
          <w:rFonts w:cs="Times New Roman"/>
          <w:sz w:val="28"/>
          <w:szCs w:val="28"/>
          <w:lang w:eastAsia="zh-CN"/>
        </w:rPr>
        <w:t>,</w:t>
      </w:r>
      <w:r>
        <w:rPr>
          <w:rFonts w:cs="Times New Roman"/>
          <w:bCs/>
          <w:sz w:val="28"/>
          <w:szCs w:val="28"/>
          <w:lang w:eastAsia="zh-CN"/>
        </w:rPr>
        <w:t xml:space="preserve"> МОУ Сосновская СОШ (химико-биологический профиль).</w:t>
      </w:r>
    </w:p>
    <w:p>
      <w:pPr>
        <w:pStyle w:val="Normal"/>
        <w:spacing w:before="120" w:after="120"/>
        <w:ind w:firstLine="709"/>
        <w:jc w:val="center"/>
        <w:rPr>
          <w:b/>
          <w:b/>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12</w:t>
      </w:r>
      <w:r>
        <w:rPr>
          <w:sz w:val="28"/>
          <w:b/>
          <w:szCs w:val="28"/>
        </w:rPr>
        <w:fldChar w:fldCharType="end"/>
      </w:r>
      <w:r>
        <w:rPr>
          <w:b/>
          <w:sz w:val="28"/>
          <w:szCs w:val="28"/>
        </w:rPr>
        <w:t xml:space="preserve"> - </w:t>
      </w:r>
      <w:r>
        <w:rPr>
          <w:rFonts w:cs="Times New Roman"/>
          <w:b/>
          <w:bCs/>
          <w:sz w:val="28"/>
          <w:szCs w:val="28"/>
          <w:lang w:eastAsia="zh-CN"/>
        </w:rPr>
        <w:t xml:space="preserve">Сеть общеобразовательных организаций </w:t>
        <w:br/>
        <w:t>в Тереньгульском районе</w:t>
      </w:r>
    </w:p>
    <w:tbl>
      <w:tblPr>
        <w:tblStyle w:val="af1"/>
        <w:tblW w:w="9714" w:type="dxa"/>
        <w:jc w:val="left"/>
        <w:tblInd w:w="0" w:type="dxa"/>
        <w:tblCellMar>
          <w:top w:w="0" w:type="dxa"/>
          <w:left w:w="108" w:type="dxa"/>
          <w:bottom w:w="0" w:type="dxa"/>
          <w:right w:w="108" w:type="dxa"/>
        </w:tblCellMar>
        <w:tblLook w:noVBand="1" w:val="04a0" w:noHBand="0" w:lastColumn="0" w:firstColumn="1" w:lastRow="0" w:firstRow="1"/>
      </w:tblPr>
      <w:tblGrid>
        <w:gridCol w:w="3226"/>
        <w:gridCol w:w="3401"/>
        <w:gridCol w:w="3087"/>
      </w:tblGrid>
      <w:tr>
        <w:trPr>
          <w:trHeight w:val="300" w:hRule="atLeast"/>
        </w:trPr>
        <w:tc>
          <w:tcPr>
            <w:tcW w:w="3226"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 xml:space="preserve">Наименование </w:t>
            </w:r>
          </w:p>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населенных пунктов</w:t>
            </w:r>
          </w:p>
        </w:tc>
        <w:tc>
          <w:tcPr>
            <w:tcW w:w="3401" w:type="dxa"/>
            <w:tcBorders/>
            <w:shd w:fill="auto" w:val="clear"/>
            <w:vAlign w:val="center"/>
          </w:tcPr>
          <w:p>
            <w:pPr>
              <w:pStyle w:val="ListParagraph"/>
              <w:spacing w:lineRule="auto" w:line="240" w:before="0" w:after="0"/>
              <w:ind w:left="-99" w:firstLine="54"/>
              <w:contextualSpacing/>
              <w:jc w:val="center"/>
              <w:rPr>
                <w:rFonts w:cs="Times New Roman"/>
                <w:b/>
                <w:b/>
                <w:sz w:val="22"/>
                <w:szCs w:val="22"/>
              </w:rPr>
            </w:pPr>
            <w:r>
              <w:rPr>
                <w:rFonts w:cs="Times New Roman"/>
                <w:b/>
                <w:sz w:val="22"/>
                <w:szCs w:val="22"/>
              </w:rPr>
              <w:t>Число общеобразовательных организаций на начало учебного года, ед.</w:t>
            </w:r>
          </w:p>
        </w:tc>
        <w:tc>
          <w:tcPr>
            <w:tcW w:w="3087" w:type="dxa"/>
            <w:tcBorders/>
            <w:shd w:fill="auto" w:val="clear"/>
            <w:vAlign w:val="center"/>
          </w:tcPr>
          <w:p>
            <w:pPr>
              <w:pStyle w:val="ListParagraph"/>
              <w:spacing w:lineRule="auto" w:line="240" w:before="0" w:after="0"/>
              <w:ind w:left="-99" w:firstLine="54"/>
              <w:contextualSpacing/>
              <w:jc w:val="center"/>
              <w:rPr>
                <w:rFonts w:cs="Times New Roman"/>
                <w:b/>
                <w:b/>
                <w:sz w:val="22"/>
                <w:szCs w:val="22"/>
              </w:rPr>
            </w:pPr>
            <w:r>
              <w:rPr>
                <w:rFonts w:cs="Times New Roman"/>
                <w:b/>
                <w:sz w:val="22"/>
                <w:szCs w:val="22"/>
              </w:rPr>
              <w:t>Численность обучающихся общеобразовательных организаций, чел.</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р.п. Тереньга</w:t>
            </w:r>
          </w:p>
        </w:tc>
        <w:tc>
          <w:tcPr>
            <w:tcW w:w="3401"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2</w:t>
            </w:r>
          </w:p>
        </w:tc>
        <w:tc>
          <w:tcPr>
            <w:tcW w:w="3087"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672</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Белогорское</w:t>
            </w:r>
          </w:p>
        </w:tc>
        <w:tc>
          <w:tcPr>
            <w:tcW w:w="3401"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1</w:t>
            </w:r>
          </w:p>
        </w:tc>
        <w:tc>
          <w:tcPr>
            <w:tcW w:w="3087"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85</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Красноборск</w:t>
            </w:r>
          </w:p>
        </w:tc>
        <w:tc>
          <w:tcPr>
            <w:tcW w:w="3401"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2</w:t>
            </w:r>
          </w:p>
        </w:tc>
        <w:tc>
          <w:tcPr>
            <w:tcW w:w="3087"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82</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Михайловка</w:t>
            </w:r>
          </w:p>
        </w:tc>
        <w:tc>
          <w:tcPr>
            <w:tcW w:w="3401"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1</w:t>
            </w:r>
          </w:p>
        </w:tc>
        <w:tc>
          <w:tcPr>
            <w:tcW w:w="3087"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97</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Подкуровка</w:t>
            </w:r>
          </w:p>
        </w:tc>
        <w:tc>
          <w:tcPr>
            <w:tcW w:w="3401"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2</w:t>
            </w:r>
          </w:p>
        </w:tc>
        <w:tc>
          <w:tcPr>
            <w:tcW w:w="3087"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257</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Ясашная Ташла</w:t>
            </w:r>
          </w:p>
        </w:tc>
        <w:tc>
          <w:tcPr>
            <w:tcW w:w="3401"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1</w:t>
            </w:r>
          </w:p>
        </w:tc>
        <w:tc>
          <w:tcPr>
            <w:tcW w:w="3087"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152</w:t>
            </w:r>
          </w:p>
        </w:tc>
      </w:tr>
      <w:tr>
        <w:trPr>
          <w:trHeight w:val="300" w:hRule="atLeast"/>
        </w:trPr>
        <w:tc>
          <w:tcPr>
            <w:tcW w:w="3226" w:type="dxa"/>
            <w:tcBorders/>
            <w:shd w:fill="auto" w:val="clear"/>
          </w:tcPr>
          <w:p>
            <w:pPr>
              <w:pStyle w:val="ListParagraph"/>
              <w:spacing w:lineRule="auto" w:line="240" w:before="0" w:after="0"/>
              <w:ind w:left="0" w:hanging="0"/>
              <w:contextualSpacing/>
              <w:rPr>
                <w:rFonts w:cs="Times New Roman"/>
                <w:b/>
                <w:b/>
                <w:sz w:val="22"/>
                <w:szCs w:val="22"/>
              </w:rPr>
            </w:pPr>
            <w:r>
              <w:rPr>
                <w:rFonts w:cs="Times New Roman"/>
                <w:b/>
                <w:sz w:val="22"/>
                <w:szCs w:val="22"/>
              </w:rPr>
              <w:t>Тереньгульский район</w:t>
            </w:r>
          </w:p>
        </w:tc>
        <w:tc>
          <w:tcPr>
            <w:tcW w:w="3401" w:type="dxa"/>
            <w:tcBorders/>
            <w:shd w:fill="auto" w:val="clear"/>
          </w:tcPr>
          <w:p>
            <w:pPr>
              <w:pStyle w:val="ListParagraph"/>
              <w:spacing w:lineRule="auto" w:line="240" w:before="0" w:after="0"/>
              <w:ind w:left="-99" w:firstLine="54"/>
              <w:contextualSpacing/>
              <w:jc w:val="center"/>
              <w:rPr>
                <w:rFonts w:cs="Times New Roman"/>
                <w:b/>
                <w:b/>
                <w:sz w:val="22"/>
                <w:szCs w:val="22"/>
              </w:rPr>
            </w:pPr>
            <w:r>
              <w:rPr>
                <w:rFonts w:cs="Times New Roman"/>
                <w:b/>
                <w:sz w:val="22"/>
                <w:szCs w:val="22"/>
              </w:rPr>
              <w:t>9</w:t>
            </w:r>
          </w:p>
        </w:tc>
        <w:tc>
          <w:tcPr>
            <w:tcW w:w="3087" w:type="dxa"/>
            <w:tcBorders/>
            <w:shd w:fill="auto" w:val="clear"/>
          </w:tcPr>
          <w:p>
            <w:pPr>
              <w:pStyle w:val="ListParagraph"/>
              <w:spacing w:lineRule="auto" w:line="240" w:before="0" w:after="0"/>
              <w:ind w:left="-99" w:firstLine="54"/>
              <w:contextualSpacing/>
              <w:jc w:val="center"/>
              <w:rPr>
                <w:rFonts w:cs="Times New Roman"/>
                <w:b/>
                <w:b/>
                <w:sz w:val="22"/>
                <w:szCs w:val="22"/>
              </w:rPr>
            </w:pPr>
            <w:r>
              <w:rPr>
                <w:rFonts w:cs="Times New Roman"/>
                <w:b/>
                <w:sz w:val="22"/>
                <w:szCs w:val="22"/>
              </w:rPr>
              <w:t>1345</w:t>
            </w:r>
          </w:p>
        </w:tc>
      </w:tr>
    </w:tbl>
    <w:p>
      <w:pPr>
        <w:pStyle w:val="Normal"/>
        <w:ind w:firstLine="709"/>
        <w:jc w:val="both"/>
        <w:rPr>
          <w:rFonts w:cs="Times New Roman"/>
          <w:bCs/>
          <w:sz w:val="28"/>
          <w:szCs w:val="28"/>
          <w:lang w:eastAsia="zh-CN"/>
        </w:rPr>
      </w:pPr>
      <w:r>
        <w:rPr>
          <w:rFonts w:cs="Times New Roman"/>
          <w:bCs/>
          <w:sz w:val="28"/>
          <w:szCs w:val="28"/>
          <w:lang w:eastAsia="zh-CN"/>
        </w:rPr>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Качество образования на протяжении 7 лет (2012-2018 гг.) остаётся практически стабильным. Уровень успеваемости стремиться к 100%, качество знаний (среднее значение 45,8%) и степень обученности (среднее значение 52,8%) на уровне среднеобластных показателей. </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По итогам государственной итоговой аттестации аттестаты об основном общем образовании в 2018 г. получили все выпускники 9 класса. В 2018 г. аттестат не получил 1 выпускник 11 класса общеобразовательных организаций Тереньгульского района.</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Увеличилась доля выпускников, поступивших после окончания общеобразовательной организации в профессиональные образовательные организации и образовательные организации высшего образования: в 2008 г. она составляла 70%, в 2015 г. – 86%, в 2017 г. – 88%.</w:t>
      </w:r>
    </w:p>
    <w:p>
      <w:pPr>
        <w:pStyle w:val="Normal"/>
        <w:keepNext w:val="true"/>
        <w:tabs>
          <w:tab w:val="clear" w:pos="708"/>
          <w:tab w:val="left" w:pos="54" w:leader="none"/>
          <w:tab w:val="left" w:pos="3324" w:leader="none"/>
        </w:tabs>
        <w:jc w:val="both"/>
        <w:rPr/>
      </w:pPr>
      <w:r>
        <w:rPr/>
        <w:drawing>
          <wp:inline distT="0" distB="0" distL="0" distR="0">
            <wp:extent cx="6027420" cy="2862580"/>
            <wp:effectExtent l="0" t="0" r="0" b="0"/>
            <wp:docPr id="2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Caption"/>
        <w:spacing w:before="0" w:after="0"/>
        <w:jc w:val="center"/>
        <w:rPr>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19</w:t>
      </w:r>
      <w:r>
        <w:rPr>
          <w:sz w:val="28"/>
          <w:szCs w:val="28"/>
        </w:rPr>
        <w:fldChar w:fldCharType="end"/>
      </w:r>
      <w:r>
        <w:rPr>
          <w:color w:val="auto"/>
          <w:sz w:val="28"/>
          <w:szCs w:val="28"/>
        </w:rPr>
        <w:t xml:space="preserve"> - Качество образования в общеобразовательных </w:t>
      </w:r>
      <w:r>
        <w:rPr>
          <w:rFonts w:cs="Times New Roman"/>
          <w:color w:val="auto"/>
          <w:sz w:val="28"/>
          <w:szCs w:val="28"/>
        </w:rPr>
        <w:t>организациях</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По результатам </w:t>
      </w:r>
      <w:r>
        <w:rPr>
          <w:rFonts w:cs="Times New Roman"/>
          <w:b/>
          <w:sz w:val="28"/>
          <w:szCs w:val="28"/>
          <w:lang w:eastAsia="zh-CN"/>
        </w:rPr>
        <w:t>независимой оценки качества образовательных услуг</w:t>
      </w:r>
      <w:r>
        <w:rPr>
          <w:rFonts w:cs="Times New Roman"/>
          <w:sz w:val="28"/>
          <w:szCs w:val="28"/>
          <w:lang w:eastAsia="zh-CN"/>
        </w:rPr>
        <w:t xml:space="preserve"> лучшие показатели в МОУ «Тереньгульская СОШ» – 146 баллов (27 место из 898 образовательных организаций Ульяновской области), МОУ «Красноборская СОШ» – 145,7 баллов (28 место), МОУ «Михайловская СОШ» – 145,7 баллов (28 место). Худшие показатели в МОУ «Ясашно-Ташлинская СОШ» – 92,6 баллов (417 место). Особые нарекания потребителей услуг вызывают комфортность и доступность предоставления услуг (материально-техническое, информационное обеспечение, условия организации обучения и воспитания обучающихся с ОВЗ и инвалидов, предоставление психолого-педагогической, медицинский, социальной помощи обучающимся), 34% </w:t>
        <w:br/>
        <w:t>не удовлетворены компетентностью работников. Уровень удовлетворённости качеством услуг составляет 61%.</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В рамках государственной программы Ульяновской области «Развитие и модернизация образования в Ульяновской области» на 2014-2020 гг.», утверждённой постановлением Правительства Ульяновской области </w:t>
        <w:br/>
        <w:t xml:space="preserve">от 11.03.2013 № 37/407-П предусмотрено проведение ремонтных работ </w:t>
        <w:br/>
        <w:t xml:space="preserve">в МОУ «Тереньгульский лицей при УлГТУ» на сумму 11 263,59 тыс. руб. </w:t>
        <w:br/>
        <w:t>(в том числе областной бюджет – 10 700,4 тыс. руб., муниципальный бюджет – 563,19 тыс. руб.) в период 2018-2020 гг. Запланирован ремонт кровли, фасада, гардероба, полов.</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Кроме того, на территории Тереньгульского района запланировано строительство общеобразовательной организации на 300 ученических мест. Здание новой общеобразовательной организации будет размещено </w:t>
        <w:br/>
        <w:t>на территории МОУ «Тереньгульский лицей при УлГТУ».</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В реализации государственной программы «Доступная среда» приняли участие и получили из федерального бюджета средства в объёме 2 802,7 </w:t>
        <w:br/>
        <w:t>тыс.</w:t>
      </w:r>
      <w:r>
        <w:rPr/>
        <w:t> </w:t>
      </w:r>
      <w:r>
        <w:rPr>
          <w:rFonts w:cs="Times New Roman"/>
          <w:sz w:val="28"/>
          <w:szCs w:val="28"/>
          <w:lang w:eastAsia="zh-CN"/>
        </w:rPr>
        <w:t>руб. общеобразовательные организации: 2011 г. МОУ Тереньгульская СОШ № 1 (1 277,4 тыс. руб.), 2014 г. МОУ Ясашно-Ташлинская СОШ (1 525,3 тыс. руб. – федеральный бюджет).</w:t>
      </w:r>
      <w:r>
        <w:rPr>
          <w:rFonts w:cs="Times New Roman"/>
          <w:sz w:val="28"/>
          <w:szCs w:val="28"/>
        </w:rPr>
        <w:t xml:space="preserve"> </w:t>
      </w:r>
      <w:r>
        <w:rPr>
          <w:rFonts w:cs="Times New Roman"/>
          <w:sz w:val="28"/>
          <w:szCs w:val="28"/>
          <w:lang w:eastAsia="zh-CN"/>
        </w:rPr>
        <w:t xml:space="preserve">В 2018/19 учебном году в общеобразовательных организациях обучается 62 ребенка с ОВЗ. Все общеобразовательные организации приспособлены для обучения лиц с ОВЗ. </w:t>
      </w:r>
      <w:r>
        <w:rPr>
          <w:rFonts w:cs="Times New Roman"/>
          <w:b/>
          <w:sz w:val="28"/>
          <w:szCs w:val="28"/>
          <w:lang w:eastAsia="zh-CN"/>
        </w:rPr>
        <w:t>В школах района создана учебно-методическая база для занятий с детьми с ОВЗ.</w:t>
      </w:r>
      <w:r>
        <w:rPr>
          <w:rFonts w:cs="Times New Roman"/>
          <w:sz w:val="28"/>
          <w:szCs w:val="28"/>
          <w:lang w:eastAsia="zh-CN"/>
        </w:rPr>
        <w:t xml:space="preserve"> За два года в рамках комплекса мер по модернизации региональных систем общего образования из федерального бюджета выделено более 500,0 тыс. руб. на закупку учебно-дидактического материала, обеспеченность специальными учебниками составляет 100 %.</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За 10 лет </w:t>
      </w:r>
      <w:r>
        <w:rPr>
          <w:rFonts w:cs="Times New Roman"/>
          <w:b/>
          <w:sz w:val="28"/>
          <w:szCs w:val="28"/>
          <w:lang w:eastAsia="zh-CN"/>
        </w:rPr>
        <w:t>оснащённость общеобразовательных организаций</w:t>
      </w:r>
      <w:r>
        <w:rPr>
          <w:rFonts w:cs="Times New Roman"/>
          <w:sz w:val="28"/>
          <w:szCs w:val="28"/>
          <w:lang w:eastAsia="zh-CN"/>
        </w:rPr>
        <w:t xml:space="preserve"> компьютерами увеличилась в 2 раза. Количество учащихся на 1 компьютер составляло в 2008 г. 11 человек, в 2017 г. – 5,2 человек.</w:t>
      </w:r>
      <w:r>
        <w:rPr>
          <w:rFonts w:cs="Times New Roman"/>
          <w:sz w:val="28"/>
          <w:szCs w:val="28"/>
        </w:rPr>
        <w:t xml:space="preserve"> Вопрос закупки и обновления компьютерной техники для полноценного преподавания информатики, информационных технологий и других предметов с использованием ИКТ. </w:t>
      </w:r>
      <w:r>
        <w:rPr>
          <w:rFonts w:cs="Times New Roman"/>
          <w:sz w:val="28"/>
          <w:szCs w:val="28"/>
          <w:lang w:eastAsia="zh-CN"/>
        </w:rPr>
        <w:t>Каждая школа обеспечена интерактивными комплексами – всего 47 штук (в среднем 5 штук на школу), мультимедийными комплектами – 55 штук.</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В 2017 г. каждая образовательная организация обновила спортивное оборудование.</w:t>
      </w:r>
    </w:p>
    <w:p>
      <w:pPr>
        <w:pStyle w:val="Normal"/>
        <w:ind w:firstLine="720"/>
        <w:jc w:val="both"/>
        <w:rPr>
          <w:rFonts w:cs="Times New Roman"/>
          <w:lang w:eastAsia="zh-CN"/>
        </w:rPr>
      </w:pPr>
      <w:r>
        <w:rPr>
          <w:rFonts w:cs="Times New Roman"/>
          <w:b/>
          <w:sz w:val="28"/>
          <w:szCs w:val="28"/>
          <w:lang w:eastAsia="zh-CN"/>
        </w:rPr>
        <w:t>Подвоз учащихся осуществляется в 9 общеобразовательных организациях по 17 школьным маршрутам.</w:t>
      </w:r>
      <w:r>
        <w:rPr>
          <w:rFonts w:cs="Times New Roman"/>
          <w:sz w:val="28"/>
          <w:szCs w:val="28"/>
          <w:lang w:eastAsia="zh-CN"/>
        </w:rPr>
        <w:t xml:space="preserve"> Подвозятся 259 учащихся. </w:t>
        <w:br/>
        <w:t xml:space="preserve">За последние 3 года ДТП с участием «школьных маршрутов» не было. </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Осуществляют трудовую деятельность в школах </w:t>
      </w:r>
      <w:r>
        <w:rPr>
          <w:rFonts w:cs="Times New Roman"/>
          <w:b/>
          <w:sz w:val="28"/>
          <w:szCs w:val="28"/>
          <w:lang w:eastAsia="zh-CN"/>
        </w:rPr>
        <w:t>508 работников, в том числе 243 педагогических работника</w:t>
      </w:r>
      <w:r>
        <w:rPr>
          <w:rFonts w:cs="Times New Roman"/>
          <w:sz w:val="28"/>
          <w:szCs w:val="28"/>
          <w:lang w:eastAsia="zh-CN"/>
        </w:rPr>
        <w:t xml:space="preserve"> (48%). 32,5 % педагогов – это учителя </w:t>
        <w:br/>
        <w:t xml:space="preserve">в возрасте старше 50 лет, молодых специалистов, приезжающих в район, единицы. В 2018 г. в образовательные организации поступило на работу </w:t>
        <w:br/>
        <w:t xml:space="preserve">2 молодых специалиста, в настоящее время работают всего 8 человек. </w:t>
      </w:r>
    </w:p>
    <w:p>
      <w:pPr>
        <w:pStyle w:val="Normal"/>
        <w:tabs>
          <w:tab w:val="clear" w:pos="708"/>
          <w:tab w:val="left" w:pos="54" w:leader="none"/>
          <w:tab w:val="left" w:pos="3324" w:leader="none"/>
        </w:tabs>
        <w:ind w:firstLine="709"/>
        <w:jc w:val="both"/>
        <w:rPr>
          <w:rFonts w:cs="Times New Roman"/>
          <w:spacing w:val="-4"/>
          <w:sz w:val="28"/>
          <w:szCs w:val="28"/>
          <w:lang w:eastAsia="zh-CN"/>
        </w:rPr>
      </w:pPr>
      <w:r>
        <w:rPr>
          <w:rFonts w:cs="Times New Roman"/>
          <w:spacing w:val="-4"/>
          <w:sz w:val="28"/>
          <w:szCs w:val="28"/>
          <w:lang w:eastAsia="zh-CN"/>
        </w:rPr>
        <w:t>На сегодняшний день 64 учителя, работающих по внутреннему совместительству, прошёл курсовую подготовку на базе ОГБУ «Центр образования и системных инноваций Ульяновской области» и УлГПУ. Это воспитатели, учителя ОБЖ, биологии, иностранного языка, технологии, ИЗО, русского языка и литературы. В 2016-2018 гг. переподготовку по специальностям начальные классы, немецкий язык, логопедия прошли три человека.</w:t>
      </w:r>
    </w:p>
    <w:p>
      <w:pPr>
        <w:pStyle w:val="Normal"/>
        <w:tabs>
          <w:tab w:val="clear" w:pos="708"/>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На сегодняшний день не хватает учителей иностранного языка </w:t>
        <w:br/>
        <w:t xml:space="preserve">(МОУ Зеленецкая ООШ и МОУ Красноборская СОШ), технологии (мальчики) (МОУ Михайловская СОШ), учителей начальных классов </w:t>
        <w:br/>
        <w:t xml:space="preserve">(МОУ Тереньгульский лицей и МОУ Зеленецкая ООШ), русского языка </w:t>
        <w:br/>
        <w:t xml:space="preserve">(МОУ Байдулинская СОШ). </w:t>
      </w:r>
    </w:p>
    <w:p>
      <w:pPr>
        <w:pStyle w:val="Normal"/>
        <w:tabs>
          <w:tab w:val="clear" w:pos="708"/>
          <w:tab w:val="left" w:pos="54" w:leader="none"/>
          <w:tab w:val="left" w:pos="3324" w:leader="none"/>
        </w:tabs>
        <w:ind w:firstLine="709"/>
        <w:jc w:val="both"/>
        <w:rPr>
          <w:rFonts w:cs="Times New Roman"/>
          <w:spacing w:val="2"/>
          <w:sz w:val="28"/>
          <w:szCs w:val="28"/>
          <w:lang w:eastAsia="zh-CN"/>
        </w:rPr>
      </w:pPr>
      <w:r>
        <w:rPr>
          <w:rFonts w:cs="Times New Roman"/>
          <w:b/>
          <w:sz w:val="28"/>
          <w:szCs w:val="28"/>
          <w:lang w:eastAsia="zh-CN"/>
        </w:rPr>
        <w:t>Сеть учреждений дополнительного образования</w:t>
      </w:r>
      <w:r>
        <w:rPr>
          <w:rFonts w:cs="Times New Roman"/>
          <w:sz w:val="28"/>
          <w:szCs w:val="28"/>
          <w:lang w:eastAsia="zh-CN"/>
        </w:rPr>
        <w:t xml:space="preserve"> представлена 2 учреждениями в р.п. Тереньга (МОУ ДОД Тереньгульская ДЮСШ и </w:t>
        <w:br/>
        <w:t xml:space="preserve">МОУ ДОД Центр детского творчества). ДЮСШ – работает по направлениям: «волейбол» и «футбол». </w:t>
      </w:r>
      <w:r>
        <w:rPr>
          <w:rFonts w:cs="Times New Roman"/>
          <w:spacing w:val="2"/>
          <w:sz w:val="28"/>
          <w:szCs w:val="28"/>
          <w:lang w:eastAsia="zh-CN"/>
        </w:rPr>
        <w:t xml:space="preserve">ЦДТ – по направлениям: художественно-эстетическое, социально-педагогическое, физкультурно-спортивное, естественно-научное, туристко-краеведческое. Кроме того, в 9 учреждениях общего образования (100%), в соответствии с лицензией, ведется обучение по программам дополнительного образования по 6 направленностям: физкультурно-спортивной (19 секций), творческих объединений (75 кружков). </w:t>
      </w:r>
    </w:p>
    <w:p>
      <w:pPr>
        <w:pStyle w:val="Normal"/>
        <w:spacing w:before="120" w:after="120"/>
        <w:ind w:firstLine="709"/>
        <w:jc w:val="center"/>
        <w:rPr>
          <w:b/>
          <w:b/>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13</w:t>
      </w:r>
      <w:r>
        <w:rPr>
          <w:sz w:val="28"/>
          <w:b/>
          <w:szCs w:val="28"/>
        </w:rPr>
        <w:fldChar w:fldCharType="end"/>
      </w:r>
      <w:r>
        <w:rPr>
          <w:b/>
          <w:sz w:val="28"/>
          <w:szCs w:val="28"/>
        </w:rPr>
        <w:t xml:space="preserve"> - </w:t>
      </w:r>
      <w:r>
        <w:rPr>
          <w:rFonts w:cs="Times New Roman"/>
          <w:b/>
          <w:sz w:val="28"/>
          <w:szCs w:val="28"/>
          <w:lang w:eastAsia="ru-RU"/>
        </w:rPr>
        <w:t xml:space="preserve">Система дополнительного образования детей </w:t>
      </w:r>
    </w:p>
    <w:tbl>
      <w:tblPr>
        <w:tblW w:w="4900" w:type="pct"/>
        <w:jc w:val="left"/>
        <w:tblInd w:w="108" w:type="dxa"/>
        <w:tblCellMar>
          <w:top w:w="0" w:type="dxa"/>
          <w:left w:w="108" w:type="dxa"/>
          <w:bottom w:w="0" w:type="dxa"/>
          <w:right w:w="108" w:type="dxa"/>
        </w:tblCellMar>
        <w:tblLook w:noVBand="1" w:val="04a0" w:noHBand="0" w:lastColumn="0" w:firstColumn="1" w:lastRow="0" w:firstRow="1"/>
      </w:tblPr>
      <w:tblGrid>
        <w:gridCol w:w="5647"/>
        <w:gridCol w:w="3797"/>
      </w:tblGrid>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Название образовательной организации</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Всего количество учащихся</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Тереньгульская СОШ</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387</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Солдатскоташлинская СОШ</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195</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Михайловская СОШ</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60</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 xml:space="preserve">МОУ Ясашно-Ташлинская СОШ </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96</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Зеленецкая ООШ</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25</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 xml:space="preserve">МОУ Красноборская СОШ </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90</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Скугареевская СОШ</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130</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Сосновская СОШ</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75</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Байдулинская СОШ</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60</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ДО ЦДТ</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254</w:t>
            </w:r>
          </w:p>
        </w:tc>
      </w:tr>
      <w:tr>
        <w:trPr/>
        <w:tc>
          <w:tcPr>
            <w:tcW w:w="56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ДО Тереньгульская ДЮСШ им.Г.В.Бакушева</w:t>
            </w:r>
          </w:p>
        </w:tc>
        <w:tc>
          <w:tcPr>
            <w:tcW w:w="37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156</w:t>
            </w:r>
          </w:p>
        </w:tc>
      </w:tr>
    </w:tbl>
    <w:p>
      <w:pPr>
        <w:pStyle w:val="Normal"/>
        <w:tabs>
          <w:tab w:val="clear" w:pos="708"/>
          <w:tab w:val="left" w:pos="54" w:leader="none"/>
          <w:tab w:val="left" w:pos="3324" w:leader="none"/>
        </w:tabs>
        <w:ind w:firstLine="709"/>
        <w:jc w:val="both"/>
        <w:rPr>
          <w:rFonts w:cs="Times New Roman"/>
          <w:spacing w:val="2"/>
          <w:sz w:val="28"/>
          <w:szCs w:val="28"/>
          <w:lang w:eastAsia="zh-CN"/>
        </w:rPr>
      </w:pPr>
      <w:r>
        <w:rPr>
          <w:rFonts w:cs="Times New Roman"/>
          <w:spacing w:val="2"/>
          <w:sz w:val="28"/>
          <w:szCs w:val="28"/>
          <w:lang w:eastAsia="zh-CN"/>
        </w:rPr>
      </w:r>
    </w:p>
    <w:p>
      <w:pPr>
        <w:pStyle w:val="Normal"/>
        <w:ind w:firstLine="709"/>
        <w:jc w:val="both"/>
        <w:rPr>
          <w:rFonts w:cs="Times New Roman"/>
          <w:sz w:val="28"/>
          <w:szCs w:val="28"/>
          <w:lang w:eastAsia="ru-RU"/>
        </w:rPr>
      </w:pPr>
      <w:r>
        <w:rPr>
          <w:rFonts w:cs="Times New Roman"/>
          <w:sz w:val="28"/>
          <w:szCs w:val="28"/>
          <w:lang w:eastAsia="ru-RU"/>
        </w:rPr>
        <w:t xml:space="preserve">Доля детей в возрасте от 5 до 18 лет в дополнительном образовании </w:t>
        <w:br/>
        <w:t xml:space="preserve">на 01.01.2018 г. составляла 75%, на 01.01.2019 г. – 84%. </w:t>
      </w:r>
    </w:p>
    <w:p>
      <w:pPr>
        <w:pStyle w:val="Normal"/>
        <w:ind w:firstLine="709"/>
        <w:jc w:val="both"/>
        <w:rPr>
          <w:rFonts w:cs="Times New Roman"/>
          <w:sz w:val="28"/>
          <w:szCs w:val="28"/>
          <w:lang w:eastAsia="ru-RU"/>
        </w:rPr>
      </w:pPr>
      <w:r>
        <w:rPr>
          <w:rFonts w:cs="Times New Roman"/>
          <w:sz w:val="28"/>
          <w:szCs w:val="28"/>
          <w:lang w:eastAsia="ru-RU"/>
        </w:rPr>
        <w:t xml:space="preserve">В организациях дополнительного образования обучается </w:t>
      </w:r>
      <w:r>
        <w:rPr>
          <w:rFonts w:cs="Times New Roman"/>
          <w:b/>
          <w:sz w:val="28"/>
          <w:szCs w:val="28"/>
          <w:lang w:eastAsia="ru-RU"/>
        </w:rPr>
        <w:t xml:space="preserve">5 детей </w:t>
        <w:br/>
        <w:t xml:space="preserve">с ограниченными возможностями здоровья </w:t>
      </w:r>
      <w:r>
        <w:rPr>
          <w:rFonts w:cs="Times New Roman"/>
          <w:sz w:val="28"/>
          <w:szCs w:val="28"/>
          <w:lang w:eastAsia="ru-RU"/>
        </w:rPr>
        <w:t>(1%) и 0 детей-инвалидов, которые занимается по индивидуальным образовательным маршрутам на базе МОУ Ясашно-Ташлинская и МОУ Тереньгульская СОШ.</w:t>
      </w:r>
    </w:p>
    <w:p>
      <w:pPr>
        <w:pStyle w:val="Normal"/>
        <w:ind w:firstLine="708"/>
        <w:jc w:val="both"/>
        <w:rPr>
          <w:rFonts w:cs="Times New Roman"/>
          <w:spacing w:val="-4"/>
          <w:sz w:val="28"/>
          <w:szCs w:val="28"/>
          <w:lang w:eastAsia="zh-CN"/>
        </w:rPr>
      </w:pPr>
      <w:r>
        <w:rPr>
          <w:rFonts w:cs="Times New Roman"/>
          <w:spacing w:val="-4"/>
          <w:sz w:val="28"/>
          <w:szCs w:val="28"/>
          <w:lang w:eastAsia="zh-CN"/>
        </w:rPr>
        <w:t xml:space="preserve">В системе дополнительного образования работает </w:t>
      </w:r>
      <w:r>
        <w:rPr>
          <w:rFonts w:cs="Times New Roman"/>
          <w:b/>
          <w:spacing w:val="-4"/>
          <w:sz w:val="28"/>
          <w:szCs w:val="28"/>
          <w:lang w:eastAsia="zh-CN"/>
        </w:rPr>
        <w:t>83 педагога</w:t>
      </w:r>
      <w:r>
        <w:rPr>
          <w:rFonts w:cs="Times New Roman"/>
          <w:spacing w:val="-4"/>
          <w:sz w:val="28"/>
          <w:szCs w:val="28"/>
          <w:lang w:eastAsia="zh-CN"/>
        </w:rPr>
        <w:t xml:space="preserve">. 50% из них имеют высшее педагогическое образование, 50% – среднее профессиональное. Доля молодых специалистов составляет 35%, 65% старше 35 лет. </w:t>
      </w:r>
    </w:p>
    <w:p>
      <w:pPr>
        <w:pStyle w:val="Normal"/>
        <w:ind w:firstLine="708"/>
        <w:jc w:val="both"/>
        <w:rPr>
          <w:rFonts w:cs="Times New Roman"/>
          <w:sz w:val="28"/>
          <w:szCs w:val="28"/>
          <w:lang w:eastAsia="zh-CN"/>
        </w:rPr>
      </w:pPr>
      <w:r>
        <w:rPr>
          <w:rFonts w:cs="Times New Roman"/>
          <w:sz w:val="28"/>
          <w:szCs w:val="28"/>
          <w:lang w:eastAsia="zh-CN"/>
        </w:rPr>
        <w:t>Приоритетными направлениями развития дополнительного образования в муниципальном образовании являются волейбол, вокал, хореография.</w:t>
      </w:r>
    </w:p>
    <w:p>
      <w:pPr>
        <w:pStyle w:val="Normal"/>
        <w:ind w:firstLine="708"/>
        <w:jc w:val="both"/>
        <w:rPr>
          <w:rFonts w:cs="Times New Roman"/>
          <w:sz w:val="28"/>
          <w:szCs w:val="28"/>
          <w:lang w:eastAsia="zh-CN"/>
        </w:rPr>
      </w:pPr>
      <w:r>
        <w:rPr>
          <w:rFonts w:cs="Times New Roman"/>
          <w:sz w:val="28"/>
          <w:lang w:eastAsia="ru-RU"/>
        </w:rPr>
        <w:t>В 2018/19 учебном году в системе дополнительного образования муниципального образования реализуется 106 дополнительных общеразвивающих программ.</w:t>
      </w:r>
    </w:p>
    <w:p>
      <w:pPr>
        <w:pStyle w:val="Caption"/>
        <w:keepNext w:val="true"/>
        <w:spacing w:before="120" w:after="120"/>
        <w:jc w:val="center"/>
        <w:rPr>
          <w:color w:val="auto"/>
          <w:sz w:val="28"/>
          <w:szCs w:val="28"/>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14</w:t>
      </w:r>
      <w:r>
        <w:rPr>
          <w:sz w:val="28"/>
          <w:szCs w:val="28"/>
        </w:rPr>
        <w:fldChar w:fldCharType="end"/>
      </w:r>
      <w:r>
        <w:rPr>
          <w:color w:val="auto"/>
          <w:sz w:val="28"/>
          <w:szCs w:val="28"/>
        </w:rPr>
        <w:t xml:space="preserve"> – Система дополнительного образования </w:t>
      </w:r>
    </w:p>
    <w:tbl>
      <w:tblPr>
        <w:tblW w:w="9645" w:type="dxa"/>
        <w:jc w:val="left"/>
        <w:tblInd w:w="108" w:type="dxa"/>
        <w:tblCellMar>
          <w:top w:w="0" w:type="dxa"/>
          <w:left w:w="108" w:type="dxa"/>
          <w:bottom w:w="0" w:type="dxa"/>
          <w:right w:w="108" w:type="dxa"/>
        </w:tblCellMar>
        <w:tblLook w:noVBand="1" w:val="04a0" w:noHBand="0" w:lastColumn="0" w:firstColumn="1" w:lastRow="0" w:firstRow="1"/>
      </w:tblPr>
      <w:tblGrid>
        <w:gridCol w:w="3261"/>
        <w:gridCol w:w="1701"/>
        <w:gridCol w:w="1493"/>
        <w:gridCol w:w="1"/>
        <w:gridCol w:w="1628"/>
        <w:gridCol w:w="1561"/>
      </w:tblGrid>
      <w:tr>
        <w:trPr/>
        <w:tc>
          <w:tcPr>
            <w:tcW w:w="326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Направленность</w:t>
            </w:r>
          </w:p>
        </w:tc>
        <w:tc>
          <w:tcPr>
            <w:tcW w:w="31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Количество объединений</w:t>
            </w:r>
          </w:p>
        </w:tc>
        <w:tc>
          <w:tcPr>
            <w:tcW w:w="319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Количество учащихся</w:t>
            </w:r>
          </w:p>
        </w:tc>
      </w:tr>
      <w:tr>
        <w:trPr/>
        <w:tc>
          <w:tcPr>
            <w:tcW w:w="326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rPr>
                <w:rFonts w:cs="Times New Roman"/>
                <w:b/>
                <w:b/>
                <w:sz w:val="22"/>
                <w:szCs w:val="22"/>
                <w:lang w:eastAsia="zh-CN"/>
              </w:rPr>
            </w:pPr>
            <w:r>
              <w:rPr>
                <w:rFonts w:cs="Times New Roman"/>
                <w:b/>
                <w:sz w:val="22"/>
                <w:szCs w:val="22"/>
                <w:lang w:eastAsia="zh-CN"/>
              </w:rPr>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 xml:space="preserve">Объединений </w:t>
            </w:r>
          </w:p>
        </w:tc>
        <w:tc>
          <w:tcPr>
            <w:tcW w:w="149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 от общего количества</w:t>
            </w:r>
          </w:p>
        </w:tc>
        <w:tc>
          <w:tcPr>
            <w:tcW w:w="16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детей</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 от общего количества</w:t>
            </w:r>
          </w:p>
        </w:tc>
      </w:tr>
      <w:tr>
        <w:trPr/>
        <w:tc>
          <w:tcPr>
            <w:tcW w:w="32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Техническое творчество</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w:t>
            </w:r>
          </w:p>
        </w:tc>
        <w:tc>
          <w:tcPr>
            <w:tcW w:w="14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125</w:t>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8</w:t>
            </w:r>
          </w:p>
        </w:tc>
      </w:tr>
      <w:tr>
        <w:trPr/>
        <w:tc>
          <w:tcPr>
            <w:tcW w:w="32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Естественнонаучная</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w:t>
            </w:r>
          </w:p>
        </w:tc>
        <w:tc>
          <w:tcPr>
            <w:tcW w:w="14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40</w:t>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w:t>
            </w:r>
          </w:p>
        </w:tc>
      </w:tr>
      <w:tr>
        <w:trPr/>
        <w:tc>
          <w:tcPr>
            <w:tcW w:w="32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Туристско-краеведческая</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w:t>
            </w:r>
          </w:p>
        </w:tc>
        <w:tc>
          <w:tcPr>
            <w:tcW w:w="14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90</w:t>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w:t>
            </w:r>
          </w:p>
        </w:tc>
      </w:tr>
      <w:tr>
        <w:trPr/>
        <w:tc>
          <w:tcPr>
            <w:tcW w:w="32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Социально-педагогическая</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19</w:t>
            </w:r>
          </w:p>
        </w:tc>
        <w:tc>
          <w:tcPr>
            <w:tcW w:w="14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18</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285</w:t>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18</w:t>
            </w:r>
          </w:p>
        </w:tc>
      </w:tr>
      <w:tr>
        <w:trPr/>
        <w:tc>
          <w:tcPr>
            <w:tcW w:w="32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Физкультурно-спортивная</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41</w:t>
            </w:r>
          </w:p>
        </w:tc>
        <w:tc>
          <w:tcPr>
            <w:tcW w:w="14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38</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583</w:t>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37</w:t>
            </w:r>
          </w:p>
        </w:tc>
      </w:tr>
      <w:tr>
        <w:trPr/>
        <w:tc>
          <w:tcPr>
            <w:tcW w:w="32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Художественное творчество</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28</w:t>
            </w:r>
          </w:p>
        </w:tc>
        <w:tc>
          <w:tcPr>
            <w:tcW w:w="14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26</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439</w:t>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28</w:t>
            </w:r>
          </w:p>
        </w:tc>
      </w:tr>
      <w:tr>
        <w:trPr/>
        <w:tc>
          <w:tcPr>
            <w:tcW w:w="326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28"/>
              <w:rPr>
                <w:rFonts w:cs="Times New Roman"/>
                <w:b/>
                <w:b/>
                <w:sz w:val="22"/>
                <w:szCs w:val="22"/>
                <w:lang w:eastAsia="zh-CN"/>
              </w:rPr>
            </w:pPr>
            <w:r>
              <w:rPr>
                <w:rFonts w:cs="Times New Roman"/>
                <w:b/>
                <w:sz w:val="22"/>
                <w:szCs w:val="22"/>
                <w:lang w:eastAsia="zh-CN"/>
              </w:rPr>
              <w:t>Всего (п.6)</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106</w:t>
            </w:r>
          </w:p>
        </w:tc>
        <w:tc>
          <w:tcPr>
            <w:tcW w:w="14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100</w:t>
            </w:r>
          </w:p>
        </w:tc>
        <w:tc>
          <w:tcPr>
            <w:tcW w:w="16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1562</w:t>
            </w:r>
          </w:p>
        </w:tc>
        <w:tc>
          <w:tcPr>
            <w:tcW w:w="1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100</w:t>
            </w:r>
          </w:p>
        </w:tc>
      </w:tr>
    </w:tbl>
    <w:p>
      <w:pPr>
        <w:pStyle w:val="Normal"/>
        <w:ind w:firstLine="708"/>
        <w:jc w:val="both"/>
        <w:rPr>
          <w:rFonts w:cs="Times New Roman"/>
          <w:sz w:val="28"/>
          <w:szCs w:val="28"/>
          <w:lang w:eastAsia="zh-CN"/>
        </w:rPr>
      </w:pPr>
      <w:r>
        <w:rPr>
          <w:rFonts w:cs="Times New Roman"/>
          <w:sz w:val="28"/>
          <w:szCs w:val="28"/>
          <w:lang w:eastAsia="zh-CN"/>
        </w:rPr>
      </w:r>
    </w:p>
    <w:p>
      <w:pPr>
        <w:pStyle w:val="Normal"/>
        <w:ind w:firstLine="708"/>
        <w:jc w:val="both"/>
        <w:rPr>
          <w:rFonts w:cs="Times New Roman"/>
          <w:sz w:val="28"/>
          <w:szCs w:val="28"/>
          <w:lang w:eastAsia="zh-CN"/>
        </w:rPr>
      </w:pPr>
      <w:r>
        <w:rPr>
          <w:rFonts w:cs="Times New Roman"/>
          <w:sz w:val="28"/>
          <w:szCs w:val="28"/>
          <w:lang w:eastAsia="zh-CN"/>
        </w:rPr>
        <w:t>Проблемы развития технической направленности связаны с отсутствием необходимых материалов и специалистов для проведения данных кружков.</w:t>
      </w:r>
    </w:p>
    <w:p>
      <w:pPr>
        <w:pStyle w:val="Normal"/>
        <w:ind w:firstLine="708"/>
        <w:jc w:val="both"/>
        <w:rPr>
          <w:rFonts w:cs="Times New Roman"/>
          <w:sz w:val="28"/>
          <w:szCs w:val="28"/>
          <w:lang w:eastAsia="zh-CN"/>
        </w:rPr>
      </w:pPr>
      <w:r>
        <w:rPr>
          <w:rFonts w:cs="Times New Roman"/>
          <w:sz w:val="28"/>
          <w:szCs w:val="28"/>
          <w:lang w:eastAsia="zh-CN"/>
        </w:rPr>
        <w:t>По результатам независимой оценки качества услуг уровень удовлетворённости качеством услуг в ДЮСШ составляет 75%., в ЦДТ – 33%. Удовлетворённость открытостью и доступностью информации о ЦДТ составляет 15%, комфортностью условий предоставления услуг – 17%, доброжелательностью, вежливостью, компетентностью работников – 50%.</w:t>
      </w:r>
    </w:p>
    <w:p>
      <w:pPr>
        <w:pStyle w:val="Normal"/>
        <w:ind w:firstLine="709"/>
        <w:jc w:val="both"/>
        <w:rPr>
          <w:rFonts w:cs="Times New Roman"/>
          <w:spacing w:val="2"/>
          <w:sz w:val="28"/>
          <w:szCs w:val="28"/>
          <w:lang w:eastAsia="zh-CN"/>
        </w:rPr>
      </w:pPr>
      <w:r>
        <w:rPr>
          <w:rFonts w:cs="Times New Roman"/>
          <w:b/>
          <w:spacing w:val="2"/>
          <w:sz w:val="28"/>
          <w:szCs w:val="28"/>
          <w:lang w:eastAsia="zh-CN"/>
        </w:rPr>
        <w:t>Уровень оплаты труда.</w:t>
      </w:r>
      <w:r>
        <w:rPr>
          <w:rFonts w:cs="Times New Roman"/>
          <w:spacing w:val="2"/>
          <w:sz w:val="28"/>
          <w:szCs w:val="28"/>
          <w:lang w:eastAsia="zh-CN"/>
        </w:rPr>
        <w:t xml:space="preserve"> В целях выполнения Указа Президента Российской Федерации от 07.05.2012 № 597 «О мероприятиях по реализации государственной социальной политики» в 2018 г.:</w:t>
      </w:r>
    </w:p>
    <w:p>
      <w:pPr>
        <w:pStyle w:val="Normal"/>
        <w:ind w:firstLine="709"/>
        <w:jc w:val="both"/>
        <w:rPr>
          <w:rFonts w:cs="Times New Roman"/>
          <w:spacing w:val="2"/>
          <w:sz w:val="28"/>
          <w:szCs w:val="28"/>
          <w:lang w:eastAsia="zh-CN"/>
        </w:rPr>
      </w:pPr>
      <w:r>
        <w:rPr>
          <w:rFonts w:cs="Times New Roman"/>
          <w:spacing w:val="2"/>
          <w:sz w:val="28"/>
          <w:szCs w:val="28"/>
          <w:lang w:eastAsia="zh-CN"/>
        </w:rPr>
        <w:t xml:space="preserve">- уровень оплаты труда педагогических работников доведён до средней заработной платы в регионе (100%). При плановом показателе 24 557,0 руб. фактическая заработная плата на 01.01.2019 г. 24 774,0 руб. или 100,9 %; </w:t>
      </w:r>
    </w:p>
    <w:p>
      <w:pPr>
        <w:pStyle w:val="Normal"/>
        <w:ind w:firstLine="709"/>
        <w:jc w:val="both"/>
        <w:rPr>
          <w:rFonts w:cs="Times New Roman"/>
          <w:spacing w:val="2"/>
          <w:sz w:val="28"/>
          <w:szCs w:val="28"/>
          <w:lang w:eastAsia="zh-CN"/>
        </w:rPr>
      </w:pPr>
      <w:r>
        <w:rPr>
          <w:rFonts w:cs="Times New Roman"/>
          <w:spacing w:val="2"/>
          <w:sz w:val="28"/>
          <w:szCs w:val="28"/>
          <w:lang w:eastAsia="zh-CN"/>
        </w:rPr>
        <w:t>- средняя заработная плата педагогических работников дошкольных образовательных учреждений доведена до средней заработной платы в сфере общего образования в соответствующем регионе (100%). При плановом показателе 23 433,0 руб. фактическая заработная плата на 01.01.2019 г. составила 244 221,0 руб. или 104,2%;</w:t>
      </w:r>
    </w:p>
    <w:p>
      <w:pPr>
        <w:pStyle w:val="Normal"/>
        <w:ind w:firstLine="709"/>
        <w:jc w:val="both"/>
        <w:rPr>
          <w:rFonts w:cs="Times New Roman"/>
          <w:spacing w:val="2"/>
          <w:sz w:val="28"/>
          <w:szCs w:val="28"/>
          <w:lang w:eastAsia="zh-CN"/>
        </w:rPr>
      </w:pPr>
      <w:r>
        <w:rPr>
          <w:rFonts w:cs="Times New Roman"/>
          <w:spacing w:val="2"/>
          <w:sz w:val="28"/>
          <w:szCs w:val="28"/>
          <w:lang w:eastAsia="zh-CN"/>
        </w:rPr>
        <w:t>- средняя заработная плата педагогических работников дополнительного образования детей доведена до средней заработной платы учителей в соответствующем регионе (100%). При плановом показателе 26 094,0 руб. фактическая заработная плата на 01.01.2019 г. составила 26 094,0 руб. или 100,0 %.</w:t>
      </w:r>
    </w:p>
    <w:p>
      <w:pPr>
        <w:pStyle w:val="ListParagraph"/>
        <w:ind w:left="0" w:firstLine="709"/>
        <w:jc w:val="center"/>
        <w:rPr>
          <w:rFonts w:cs="Times New Roman"/>
          <w:sz w:val="28"/>
          <w:szCs w:val="28"/>
        </w:rPr>
      </w:pPr>
      <w:r>
        <w:rPr>
          <w:rFonts w:cs="Times New Roman"/>
          <w:sz w:val="28"/>
          <w:szCs w:val="28"/>
        </w:rPr>
      </w:r>
    </w:p>
    <w:p>
      <w:pPr>
        <w:pStyle w:val="32"/>
        <w:rPr/>
      </w:pPr>
      <w:bookmarkStart w:id="20" w:name="_Toc2237196"/>
      <w:bookmarkStart w:id="21" w:name="_Toc4404995"/>
      <w:r>
        <w:rPr/>
        <w:t>1.5.5. Культура</w:t>
      </w:r>
      <w:bookmarkEnd w:id="20"/>
      <w:bookmarkEnd w:id="21"/>
      <w:r>
        <w:rPr/>
        <w:t xml:space="preserve"> </w:t>
      </w:r>
    </w:p>
    <w:p>
      <w:pPr>
        <w:pStyle w:val="ListParagraph"/>
        <w:ind w:left="0" w:firstLine="709"/>
        <w:jc w:val="both"/>
        <w:rPr>
          <w:rFonts w:cs="Times New Roman"/>
          <w:sz w:val="28"/>
          <w:szCs w:val="28"/>
        </w:rPr>
      </w:pPr>
      <w:r>
        <w:rPr>
          <w:rFonts w:cs="Times New Roman"/>
          <w:sz w:val="28"/>
          <w:szCs w:val="28"/>
        </w:rPr>
        <w:t>Благополучателями услуг культуры являются 17423 жителя района.</w:t>
      </w:r>
    </w:p>
    <w:p>
      <w:pPr>
        <w:pStyle w:val="ListParagraph"/>
        <w:ind w:left="0" w:firstLine="709"/>
        <w:jc w:val="both"/>
        <w:rPr>
          <w:rFonts w:cs="Times New Roman"/>
          <w:sz w:val="28"/>
          <w:szCs w:val="28"/>
        </w:rPr>
      </w:pPr>
      <w:r>
        <w:rPr>
          <w:rFonts w:cs="Times New Roman"/>
          <w:sz w:val="28"/>
          <w:szCs w:val="28"/>
        </w:rPr>
        <w:t>Структура муниципальной отрасли культуры представлена 37 сетевыми единицами:</w:t>
      </w:r>
    </w:p>
    <w:p>
      <w:pPr>
        <w:pStyle w:val="ListParagraph"/>
        <w:ind w:left="0" w:firstLine="709"/>
        <w:jc w:val="both"/>
        <w:rPr>
          <w:rFonts w:cs="Times New Roman"/>
          <w:sz w:val="28"/>
          <w:szCs w:val="28"/>
        </w:rPr>
      </w:pPr>
      <w:r>
        <w:rPr>
          <w:rFonts w:cs="Times New Roman"/>
          <w:sz w:val="28"/>
          <w:szCs w:val="28"/>
        </w:rPr>
        <w:t>- МУК «Культурно-досуговый центр» МО «Тереньгульский район» с 13 филиалами;</w:t>
      </w:r>
    </w:p>
    <w:p>
      <w:pPr>
        <w:pStyle w:val="ListParagraph"/>
        <w:ind w:left="0" w:firstLine="709"/>
        <w:jc w:val="both"/>
        <w:rPr>
          <w:rFonts w:cs="Times New Roman"/>
          <w:sz w:val="28"/>
          <w:szCs w:val="28"/>
        </w:rPr>
      </w:pPr>
      <w:r>
        <w:rPr>
          <w:rFonts w:cs="Times New Roman"/>
          <w:sz w:val="28"/>
          <w:szCs w:val="28"/>
        </w:rPr>
        <w:t>- МУК Культурно-досуговый центр» МО «Тереньгульское городское поселение» с 4 филиалами;</w:t>
      </w:r>
    </w:p>
    <w:p>
      <w:pPr>
        <w:pStyle w:val="ListParagraph"/>
        <w:ind w:left="0" w:firstLine="709"/>
        <w:jc w:val="both"/>
        <w:rPr>
          <w:rFonts w:cs="Times New Roman"/>
          <w:sz w:val="28"/>
          <w:szCs w:val="28"/>
        </w:rPr>
      </w:pPr>
      <w:r>
        <w:rPr>
          <w:rFonts w:cs="Times New Roman"/>
          <w:sz w:val="28"/>
          <w:szCs w:val="28"/>
        </w:rPr>
        <w:t>- МУК «Межпоселенческая библиотека» МО «Тереньгульский район»: Центральная библиотека им. И.А. Крылова, центральная детская библиотеке, 15 филиалов;</w:t>
      </w:r>
    </w:p>
    <w:p>
      <w:pPr>
        <w:pStyle w:val="ListParagraph"/>
        <w:ind w:left="0" w:firstLine="709"/>
        <w:jc w:val="both"/>
        <w:rPr>
          <w:rFonts w:cs="Times New Roman"/>
          <w:sz w:val="28"/>
          <w:szCs w:val="28"/>
        </w:rPr>
      </w:pPr>
      <w:r>
        <w:rPr>
          <w:rFonts w:cs="Times New Roman"/>
          <w:sz w:val="28"/>
          <w:szCs w:val="28"/>
        </w:rPr>
        <w:t>- МБУ ДО «Тереньгульская детская школа искусств».</w:t>
      </w:r>
    </w:p>
    <w:p>
      <w:pPr>
        <w:pStyle w:val="ListParagraph"/>
        <w:ind w:left="0" w:firstLine="709"/>
        <w:jc w:val="both"/>
        <w:rPr>
          <w:rFonts w:cs="Times New Roman"/>
          <w:sz w:val="28"/>
          <w:szCs w:val="28"/>
        </w:rPr>
      </w:pPr>
      <w:r>
        <w:rPr>
          <w:rFonts w:cs="Times New Roman"/>
          <w:sz w:val="28"/>
          <w:szCs w:val="28"/>
        </w:rPr>
        <w:t xml:space="preserve">16 объектов культуры располагаются в собственных зданиях, 4 – </w:t>
        <w:br/>
        <w:t>в зданиях сельской администрации, 13 – в сельских образовательных учреждениях, 4 библиотеки расположены в зданиях КДЦ.</w:t>
      </w:r>
    </w:p>
    <w:p>
      <w:pPr>
        <w:pStyle w:val="ListParagraph"/>
        <w:ind w:left="0" w:firstLine="709"/>
        <w:jc w:val="both"/>
        <w:rPr>
          <w:rFonts w:cs="Times New Roman"/>
          <w:sz w:val="28"/>
          <w:szCs w:val="28"/>
        </w:rPr>
      </w:pPr>
      <w:r>
        <w:rPr>
          <w:rFonts w:cs="Times New Roman"/>
          <w:sz w:val="28"/>
          <w:szCs w:val="28"/>
        </w:rPr>
        <w:t>Обеспеченность учреждениями культуры составляет:</w:t>
      </w:r>
    </w:p>
    <w:p>
      <w:pPr>
        <w:pStyle w:val="ListParagraph"/>
        <w:ind w:left="0" w:firstLine="709"/>
        <w:jc w:val="both"/>
        <w:rPr>
          <w:rFonts w:cs="Times New Roman"/>
          <w:sz w:val="28"/>
          <w:szCs w:val="28"/>
        </w:rPr>
      </w:pPr>
      <w:r>
        <w:rPr>
          <w:rFonts w:cs="Times New Roman"/>
          <w:sz w:val="28"/>
          <w:szCs w:val="28"/>
        </w:rPr>
        <w:t>- клубными учреждениями – 136%;</w:t>
      </w:r>
    </w:p>
    <w:p>
      <w:pPr>
        <w:pStyle w:val="ListParagraph"/>
        <w:ind w:left="0" w:firstLine="709"/>
        <w:jc w:val="both"/>
        <w:rPr>
          <w:rFonts w:cs="Times New Roman"/>
          <w:sz w:val="28"/>
          <w:szCs w:val="28"/>
        </w:rPr>
      </w:pPr>
      <w:r>
        <w:rPr>
          <w:rFonts w:cs="Times New Roman"/>
          <w:sz w:val="28"/>
          <w:szCs w:val="28"/>
        </w:rPr>
        <w:t>- библиотечными учреждениями – 113%.</w:t>
      </w:r>
    </w:p>
    <w:p>
      <w:pPr>
        <w:pStyle w:val="ListParagraph"/>
        <w:ind w:left="0" w:firstLine="709"/>
        <w:jc w:val="both"/>
        <w:rPr>
          <w:rFonts w:cs="Times New Roman"/>
          <w:sz w:val="28"/>
          <w:szCs w:val="28"/>
        </w:rPr>
      </w:pPr>
      <w:r>
        <w:rPr>
          <w:rFonts w:cs="Times New Roman"/>
          <w:sz w:val="28"/>
          <w:szCs w:val="28"/>
        </w:rPr>
        <w:t>Таким образом, сеть муниципальных учреждений культуры оказывает весь спектр услуг культуры в муниципальном образовании, за исключением услуг театров.</w:t>
      </w:r>
    </w:p>
    <w:p>
      <w:pPr>
        <w:pStyle w:val="ListParagraph"/>
        <w:ind w:left="0" w:firstLine="709"/>
        <w:jc w:val="both"/>
        <w:rPr>
          <w:rFonts w:cs="Times New Roman"/>
          <w:sz w:val="28"/>
          <w:szCs w:val="28"/>
        </w:rPr>
      </w:pPr>
      <w:r>
        <w:rPr>
          <w:rFonts w:cs="Times New Roman"/>
          <w:sz w:val="28"/>
          <w:szCs w:val="28"/>
        </w:rPr>
        <w:t>В отрасли трудятся 130 человек, 107 человек (82%) – женщины. Высшее образование имеют 10 человек (7,7%). 27 человек (21%) – работники пенсионного возраста (старше 55 лет), 9 человек (7%) – моложе 30 лет. Штат укомплектован полностью.</w:t>
      </w:r>
    </w:p>
    <w:p>
      <w:pPr>
        <w:pStyle w:val="ListParagraph"/>
        <w:spacing w:before="120" w:after="120"/>
        <w:ind w:left="0" w:hanging="0"/>
        <w:contextualSpacing/>
        <w:jc w:val="center"/>
        <w:rPr>
          <w:rFonts w:cs="Times New Roman"/>
          <w:b/>
          <w:b/>
          <w:sz w:val="28"/>
          <w:szCs w:val="28"/>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15</w:t>
      </w:r>
      <w:r>
        <w:rPr>
          <w:sz w:val="28"/>
          <w:b/>
          <w:szCs w:val="28"/>
        </w:rPr>
        <w:fldChar w:fldCharType="end"/>
      </w:r>
      <w:r>
        <w:rPr>
          <w:b/>
          <w:sz w:val="28"/>
          <w:szCs w:val="28"/>
        </w:rPr>
        <w:t xml:space="preserve"> - </w:t>
      </w:r>
      <w:r>
        <w:rPr>
          <w:rFonts w:cs="Times New Roman"/>
          <w:b/>
          <w:sz w:val="28"/>
          <w:szCs w:val="28"/>
        </w:rPr>
        <w:t xml:space="preserve">Динамика показателей, характеризующих развитие </w:t>
        <w:br/>
        <w:t>отрасли культуры в Тереньгульском районе за 2008-2018 гг.</w:t>
      </w:r>
    </w:p>
    <w:tbl>
      <w:tblPr>
        <w:tblW w:w="9856" w:type="dxa"/>
        <w:jc w:val="left"/>
        <w:tblInd w:w="0" w:type="dxa"/>
        <w:tblCellMar>
          <w:top w:w="0" w:type="dxa"/>
          <w:left w:w="108" w:type="dxa"/>
          <w:bottom w:w="0" w:type="dxa"/>
          <w:right w:w="108" w:type="dxa"/>
        </w:tblCellMar>
        <w:tblLook w:noVBand="1" w:val="04a0" w:noHBand="0" w:lastColumn="0" w:firstColumn="1" w:lastRow="0" w:firstRow="1"/>
      </w:tblPr>
      <w:tblGrid>
        <w:gridCol w:w="2716"/>
        <w:gridCol w:w="647"/>
        <w:gridCol w:w="650"/>
        <w:gridCol w:w="649"/>
        <w:gridCol w:w="651"/>
        <w:gridCol w:w="648"/>
        <w:gridCol w:w="651"/>
        <w:gridCol w:w="648"/>
        <w:gridCol w:w="651"/>
        <w:gridCol w:w="649"/>
        <w:gridCol w:w="650"/>
        <w:gridCol w:w="645"/>
      </w:tblGrid>
      <w:tr>
        <w:trPr/>
        <w:tc>
          <w:tcPr>
            <w:tcW w:w="27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Наименование показателя</w:t>
            </w:r>
          </w:p>
        </w:tc>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2008</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2009</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2010</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2011</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2012</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2013</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2014</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2015</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2016</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2017</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2018</w:t>
            </w:r>
          </w:p>
        </w:tc>
      </w:tr>
      <w:tr>
        <w:trPr/>
        <w:tc>
          <w:tcPr>
            <w:tcW w:w="27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sz w:val="20"/>
                <w:szCs w:val="20"/>
              </w:rPr>
            </w:pPr>
            <w:r>
              <w:rPr>
                <w:rFonts w:eastAsia="Calibri" w:cs="Times New Roman"/>
                <w:sz w:val="20"/>
                <w:szCs w:val="20"/>
              </w:rPr>
              <w:t>Доля учреждений культуры, здания которых находятся в аварийном состоянии или требуют капитального ремонта, в общем количестве учреждений культуры, %</w:t>
            </w:r>
          </w:p>
        </w:tc>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31</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31</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31</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23</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18</w:t>
            </w:r>
          </w:p>
        </w:tc>
      </w:tr>
      <w:tr>
        <w:trPr/>
        <w:tc>
          <w:tcPr>
            <w:tcW w:w="27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rFonts w:eastAsia="Calibri" w:cs="Times New Roman"/>
                <w:sz w:val="20"/>
                <w:szCs w:val="20"/>
              </w:rPr>
            </w:pPr>
            <w:r>
              <w:rPr>
                <w:rFonts w:eastAsia="Calibri" w:cs="Times New Roman"/>
                <w:sz w:val="20"/>
                <w:szCs w:val="20"/>
              </w:rPr>
              <w:t xml:space="preserve">Численность обучающихся </w:t>
              <w:br/>
              <w:t>в ДШИ</w:t>
            </w:r>
          </w:p>
        </w:tc>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69</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79</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88</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85</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86</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80</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85</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79</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70</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68</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69</w:t>
            </w:r>
          </w:p>
        </w:tc>
      </w:tr>
      <w:tr>
        <w:trPr/>
        <w:tc>
          <w:tcPr>
            <w:tcW w:w="27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rPr>
                <w:rFonts w:eastAsia="Calibri" w:cs="Times New Roman"/>
                <w:sz w:val="20"/>
                <w:szCs w:val="20"/>
              </w:rPr>
            </w:pPr>
            <w:r>
              <w:rPr>
                <w:rFonts w:eastAsia="Calibri" w:cs="Times New Roman"/>
                <w:sz w:val="20"/>
                <w:szCs w:val="20"/>
              </w:rPr>
              <w:t xml:space="preserve">Число организаций культурно-досугового типа, ед. </w:t>
            </w:r>
          </w:p>
        </w:tc>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464" w:leader="none"/>
              </w:tabs>
              <w:spacing w:before="20" w:after="120"/>
              <w:jc w:val="center"/>
              <w:rPr>
                <w:rFonts w:eastAsia="Calibri" w:cs="Times New Roman"/>
                <w:sz w:val="20"/>
                <w:szCs w:val="20"/>
              </w:rPr>
            </w:pPr>
            <w:r>
              <w:rPr>
                <w:rFonts w:eastAsia="Calibri" w:cs="Times New Roman"/>
                <w:sz w:val="20"/>
                <w:szCs w:val="20"/>
              </w:rPr>
              <w:t>19</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r>
      <w:tr>
        <w:trPr/>
        <w:tc>
          <w:tcPr>
            <w:tcW w:w="27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rPr>
                <w:rFonts w:eastAsia="Calibri" w:cs="Times New Roman"/>
                <w:sz w:val="20"/>
                <w:szCs w:val="20"/>
              </w:rPr>
            </w:pPr>
            <w:r>
              <w:rPr>
                <w:rFonts w:eastAsia="Calibri" w:cs="Times New Roman"/>
                <w:sz w:val="20"/>
                <w:szCs w:val="20"/>
              </w:rPr>
              <w:t>Число общедоступных библиотек, ед.</w:t>
            </w:r>
          </w:p>
        </w:tc>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464" w:leader="none"/>
              </w:tabs>
              <w:spacing w:before="20" w:after="120"/>
              <w:jc w:val="center"/>
              <w:rPr>
                <w:rFonts w:eastAsia="Calibri" w:cs="Times New Roman"/>
                <w:sz w:val="20"/>
                <w:szCs w:val="20"/>
              </w:rPr>
            </w:pPr>
            <w:r>
              <w:rPr>
                <w:rFonts w:eastAsia="Calibri" w:cs="Times New Roman"/>
                <w:sz w:val="20"/>
                <w:szCs w:val="20"/>
              </w:rPr>
              <w:t>17</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17</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17</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17</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17</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16</w:t>
            </w:r>
          </w:p>
        </w:tc>
      </w:tr>
      <w:tr>
        <w:trPr/>
        <w:tc>
          <w:tcPr>
            <w:tcW w:w="271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rPr>
                <w:rFonts w:eastAsia="Calibri" w:cs="Times New Roman"/>
                <w:sz w:val="20"/>
                <w:szCs w:val="20"/>
              </w:rPr>
            </w:pPr>
            <w:r>
              <w:rPr>
                <w:rFonts w:eastAsia="Calibri" w:cs="Times New Roman"/>
                <w:sz w:val="20"/>
                <w:szCs w:val="20"/>
              </w:rPr>
              <w:t>Число проведённых культурно-досуговых мероприятий, ед.</w:t>
            </w:r>
          </w:p>
        </w:tc>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2612</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2545</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2780</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1940</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2698</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464" w:leader="none"/>
              </w:tabs>
              <w:spacing w:before="20" w:after="120"/>
              <w:jc w:val="center"/>
              <w:rPr>
                <w:rFonts w:eastAsia="Calibri" w:cs="Times New Roman"/>
                <w:sz w:val="20"/>
                <w:szCs w:val="20"/>
              </w:rPr>
            </w:pPr>
            <w:r>
              <w:rPr>
                <w:rFonts w:eastAsia="Calibri" w:cs="Times New Roman"/>
                <w:sz w:val="20"/>
                <w:szCs w:val="20"/>
              </w:rPr>
              <w:t>2749</w:t>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464" w:leader="none"/>
              </w:tabs>
              <w:jc w:val="center"/>
              <w:rPr>
                <w:rFonts w:eastAsia="Calibri" w:cs="Times New Roman"/>
                <w:color w:val="000000"/>
                <w:sz w:val="20"/>
                <w:szCs w:val="20"/>
              </w:rPr>
            </w:pPr>
            <w:r>
              <w:rPr>
                <w:rFonts w:eastAsia="Calibri" w:cs="Times New Roman"/>
                <w:color w:val="000000"/>
                <w:sz w:val="20"/>
                <w:szCs w:val="20"/>
              </w:rPr>
              <w:t>2788</w:t>
            </w:r>
          </w:p>
        </w:tc>
        <w:tc>
          <w:tcPr>
            <w:tcW w:w="65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464" w:leader="none"/>
              </w:tabs>
              <w:jc w:val="center"/>
              <w:rPr>
                <w:rFonts w:eastAsia="Calibri" w:cs="Times New Roman"/>
                <w:color w:val="000000"/>
                <w:sz w:val="20"/>
                <w:szCs w:val="20"/>
              </w:rPr>
            </w:pPr>
            <w:r>
              <w:rPr>
                <w:rFonts w:eastAsia="Calibri" w:cs="Times New Roman"/>
                <w:color w:val="000000"/>
                <w:sz w:val="20"/>
                <w:szCs w:val="20"/>
              </w:rPr>
              <w:t>2541</w:t>
            </w:r>
          </w:p>
        </w:tc>
        <w:tc>
          <w:tcPr>
            <w:tcW w:w="64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2787</w:t>
            </w:r>
          </w:p>
        </w:tc>
        <w:tc>
          <w:tcPr>
            <w:tcW w:w="65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2677</w:t>
            </w:r>
          </w:p>
        </w:tc>
        <w:tc>
          <w:tcPr>
            <w:tcW w:w="64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2666</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b/>
          <w:spacing w:val="-2"/>
          <w:sz w:val="28"/>
          <w:szCs w:val="28"/>
        </w:rPr>
        <w:t>Средняя заработная плата работников учреждений культуры</w:t>
      </w:r>
      <w:r>
        <w:rPr>
          <w:rFonts w:cs="Times New Roman"/>
          <w:spacing w:val="-2"/>
          <w:sz w:val="28"/>
          <w:szCs w:val="28"/>
        </w:rPr>
        <w:t xml:space="preserve"> за 2018 г. составила 16 369,9 руб. </w:t>
      </w:r>
      <w:r>
        <w:rPr>
          <w:rFonts w:cs="Times New Roman"/>
          <w:sz w:val="28"/>
          <w:szCs w:val="28"/>
        </w:rPr>
        <w:t>(66,7% от прогнозного уровня среднемесячного дохода от трудовой деятельности в целом по экономике региона):</w:t>
      </w:r>
    </w:p>
    <w:p>
      <w:pPr>
        <w:pStyle w:val="ListParagraph"/>
        <w:ind w:left="0" w:firstLine="709"/>
        <w:jc w:val="both"/>
        <w:rPr>
          <w:rFonts w:cs="Times New Roman"/>
          <w:sz w:val="28"/>
          <w:szCs w:val="28"/>
        </w:rPr>
      </w:pPr>
      <w:r>
        <w:rPr>
          <w:rFonts w:cs="Times New Roman"/>
          <w:sz w:val="28"/>
          <w:szCs w:val="28"/>
        </w:rPr>
        <w:t>- по библиотекам – 16 567,5 руб. (67,5%);</w:t>
      </w:r>
    </w:p>
    <w:p>
      <w:pPr>
        <w:pStyle w:val="ListParagraph"/>
        <w:ind w:left="0" w:firstLine="709"/>
        <w:jc w:val="both"/>
        <w:rPr>
          <w:rFonts w:cs="Times New Roman"/>
          <w:sz w:val="28"/>
          <w:szCs w:val="28"/>
        </w:rPr>
      </w:pPr>
      <w:r>
        <w:rPr>
          <w:rFonts w:cs="Times New Roman"/>
          <w:sz w:val="28"/>
          <w:szCs w:val="28"/>
        </w:rPr>
        <w:t xml:space="preserve">- по культурно-досуговым учреждениям – 16 281,6 руб. (66,3%). Целевой показатель по заработной плате – 64,8% – выполнен. Однако по показателю «отношение средней заработной платы работников культуры </w:t>
        <w:br/>
        <w:t xml:space="preserve">к среднемесячному доходу от трудовой деятельности» МО «Тереньгульский район» находится на 23 месте из 24. </w:t>
      </w:r>
    </w:p>
    <w:p>
      <w:pPr>
        <w:pStyle w:val="ListParagraph"/>
        <w:ind w:left="0" w:firstLine="709"/>
        <w:jc w:val="both"/>
        <w:rPr>
          <w:rFonts w:cs="Times New Roman"/>
          <w:sz w:val="28"/>
          <w:szCs w:val="28"/>
        </w:rPr>
      </w:pPr>
      <w:r>
        <w:rPr>
          <w:rFonts w:cs="Times New Roman"/>
          <w:b/>
          <w:sz w:val="28"/>
          <w:szCs w:val="28"/>
        </w:rPr>
        <w:t>Средняя заработная плата работников ДШИ</w:t>
      </w:r>
      <w:r>
        <w:rPr>
          <w:rFonts w:cs="Times New Roman"/>
          <w:sz w:val="28"/>
          <w:szCs w:val="28"/>
        </w:rPr>
        <w:t xml:space="preserve"> за 2018 г. составила 23 463 руб., в том числе педагогических работников образовательных учреждений дополнительного образования детей – 22 496,7 руб. (85,5% от уровня средней заработной платы учителей в регионе). Целевое значение показателя – 100% не выполнено на 14,5%. По показателю «отношение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w:t>
        <w:br/>
        <w:t>в регионе» Тереньгульский район находится на 19 месте из 24.</w:t>
      </w:r>
    </w:p>
    <w:p>
      <w:pPr>
        <w:pStyle w:val="ListParagraph"/>
        <w:ind w:left="0" w:firstLine="709"/>
        <w:jc w:val="both"/>
        <w:rPr>
          <w:rFonts w:cs="Times New Roman"/>
          <w:sz w:val="28"/>
          <w:szCs w:val="28"/>
        </w:rPr>
      </w:pPr>
      <w:r>
        <w:rPr>
          <w:rFonts w:cs="Times New Roman"/>
          <w:sz w:val="28"/>
          <w:szCs w:val="28"/>
        </w:rPr>
        <w:t xml:space="preserve">Доля зданий, находящихся в аварийном состоянии и требующих капитального ремонта, сократилась за 2017-2018 гг. на 13%. Был выполнен ремонт кровли Тереньгульского КДЦ. Планируется ремонтные работы </w:t>
        <w:br/>
        <w:t xml:space="preserve">на сумму 4 329,98 тыс. руб. и приобретение оборудования на сумму 760 тыс. руб. (в рамках реализации проекта «Местный дом культуры»). </w:t>
      </w:r>
    </w:p>
    <w:p>
      <w:pPr>
        <w:pStyle w:val="ListParagraph"/>
        <w:ind w:left="0" w:firstLine="709"/>
        <w:jc w:val="both"/>
        <w:rPr>
          <w:rFonts w:cs="Times New Roman"/>
          <w:sz w:val="28"/>
          <w:szCs w:val="28"/>
        </w:rPr>
      </w:pPr>
      <w:r>
        <w:rPr>
          <w:rFonts w:cs="Times New Roman"/>
          <w:sz w:val="28"/>
          <w:szCs w:val="28"/>
        </w:rPr>
        <w:t xml:space="preserve">В проекте поддержки местных инициатив в 2016-2018 гг. участвовали </w:t>
        <w:br/>
        <w:t xml:space="preserve">2 парка (парк-усадьба Перси-Френч, парк «Дружбы народов») и 4 дома культуры (Красноборский СДК, Подкуровский КДЦ, Сосновский СДК, Михайловский СДК). В 2019-2021 гг. планируется к участию в проекте </w:t>
        <w:br/>
        <w:t>8 объектов культуры.</w:t>
      </w:r>
    </w:p>
    <w:p>
      <w:pPr>
        <w:pStyle w:val="ListParagraph"/>
        <w:ind w:left="0" w:firstLine="709"/>
        <w:jc w:val="both"/>
        <w:rPr>
          <w:rFonts w:cs="Times New Roman"/>
          <w:sz w:val="28"/>
          <w:szCs w:val="28"/>
        </w:rPr>
      </w:pPr>
      <w:r>
        <w:rPr>
          <w:rFonts w:cs="Times New Roman"/>
          <w:sz w:val="28"/>
          <w:szCs w:val="28"/>
        </w:rPr>
        <w:t>С целью обеспечения доступной среды в учреждениях культуры в МУК «КДЦ» закуплен подъёмник с наклонным перемещением, в Тереньгульской ДШИ в 2019 г. будет установлен пандус.</w:t>
      </w:r>
    </w:p>
    <w:p>
      <w:pPr>
        <w:pStyle w:val="ListParagraph"/>
        <w:ind w:left="0" w:firstLine="709"/>
        <w:jc w:val="both"/>
        <w:rPr>
          <w:rFonts w:cs="Times New Roman"/>
          <w:sz w:val="28"/>
          <w:szCs w:val="28"/>
        </w:rPr>
      </w:pPr>
      <w:r>
        <w:rPr>
          <w:rFonts w:cs="Times New Roman"/>
          <w:b/>
          <w:sz w:val="28"/>
          <w:szCs w:val="28"/>
        </w:rPr>
        <w:t>Организация досуга населения</w:t>
      </w:r>
      <w:r>
        <w:rPr>
          <w:rFonts w:cs="Times New Roman"/>
          <w:sz w:val="28"/>
          <w:szCs w:val="28"/>
        </w:rPr>
        <w:t xml:space="preserve"> осуществляется 19 учреждениями клубного типа, 13 (68%) из которых находятся в сельской местности. </w:t>
        <w:br/>
        <w:t xml:space="preserve">В указанных учреждениях действует 121 </w:t>
      </w:r>
      <w:r>
        <w:rPr>
          <w:rFonts w:cs="Times New Roman"/>
          <w:i/>
          <w:sz w:val="28"/>
          <w:szCs w:val="28"/>
        </w:rPr>
        <w:t>клубное формирование</w:t>
      </w:r>
      <w:r>
        <w:rPr>
          <w:rFonts w:cs="Times New Roman"/>
          <w:sz w:val="28"/>
          <w:szCs w:val="28"/>
        </w:rPr>
        <w:t xml:space="preserve"> с охватом участников 1419 человек, из них 51 для развития детского творчества с охватом 563 человека. Доля населения, являющегося участниками клубных формирований, в 2018 г. составила 8,1%, что выше среднего по Ульяновской области – 3,8%. В районе действуют 83 </w:t>
      </w:r>
      <w:r>
        <w:rPr>
          <w:rFonts w:cs="Times New Roman"/>
          <w:i/>
          <w:sz w:val="28"/>
          <w:szCs w:val="28"/>
        </w:rPr>
        <w:t>коллектива художественной самодеятельности</w:t>
      </w:r>
      <w:r>
        <w:rPr>
          <w:rFonts w:cs="Times New Roman"/>
          <w:sz w:val="28"/>
          <w:szCs w:val="28"/>
        </w:rPr>
        <w:t>, 6 из которых носят звание «Народный», 16 театральных коллективов самодеятельного народного творчества.</w:t>
      </w:r>
    </w:p>
    <w:p>
      <w:pPr>
        <w:pStyle w:val="ListParagraph"/>
        <w:ind w:left="0" w:firstLine="709"/>
        <w:jc w:val="both"/>
        <w:rPr>
          <w:rFonts w:cs="Times New Roman"/>
          <w:sz w:val="28"/>
          <w:szCs w:val="28"/>
        </w:rPr>
      </w:pPr>
      <w:r>
        <w:rPr>
          <w:rFonts w:cs="Times New Roman"/>
          <w:sz w:val="28"/>
          <w:szCs w:val="28"/>
        </w:rPr>
        <w:t xml:space="preserve">Ежегодно на территории Тереньгульского района проводится более 2,6 тысяч </w:t>
      </w:r>
      <w:r>
        <w:rPr>
          <w:rFonts w:cs="Times New Roman"/>
          <w:i/>
          <w:sz w:val="28"/>
          <w:szCs w:val="28"/>
        </w:rPr>
        <w:t>культурно-массовых мероприятий</w:t>
      </w:r>
      <w:r>
        <w:rPr>
          <w:rFonts w:cs="Times New Roman"/>
          <w:sz w:val="28"/>
          <w:szCs w:val="28"/>
        </w:rPr>
        <w:t xml:space="preserve">, 29% из них – на платной основе. Посещаемость мероприятий в 2018 г. составила 6,2 посещений на 1 жителя муниципального образования, что практически вдвое выше среднего </w:t>
        <w:br/>
        <w:t>по Ульяновской области (3,4). Посещаемость платных мероприятий составила 0,5 посещений на 1 жителя, что также выше среднего по региону (0,4).</w:t>
      </w:r>
    </w:p>
    <w:p>
      <w:pPr>
        <w:pStyle w:val="ListParagraph"/>
        <w:ind w:left="0" w:firstLine="709"/>
        <w:jc w:val="both"/>
        <w:rPr>
          <w:rFonts w:cs="Times New Roman"/>
          <w:sz w:val="28"/>
          <w:szCs w:val="28"/>
        </w:rPr>
      </w:pPr>
      <w:r>
        <w:rPr>
          <w:rFonts w:cs="Times New Roman"/>
          <w:sz w:val="28"/>
          <w:szCs w:val="28"/>
        </w:rPr>
        <w:t xml:space="preserve">Музейную деятельность в районе осуществляет музей в составе МУК «КДЦ». В фоне музея 851 экспонат. Реализовано 49 выставочных проектов. </w:t>
        <w:br/>
        <w:t xml:space="preserve">В 2018 г. музей посетили 2 тыс. человек (0,1 посещений на 1 жителя). </w:t>
        <w:br/>
        <w:t>В реестре негосударственных музеев зарегистрированы 2 негосударственных музея: Тереньгульский районный краеведческий музей и Сельский краеведческий музей с. Подкуровка.</w:t>
      </w:r>
    </w:p>
    <w:p>
      <w:pPr>
        <w:pStyle w:val="ListParagraph"/>
        <w:ind w:left="0" w:firstLine="709"/>
        <w:jc w:val="both"/>
        <w:rPr>
          <w:rFonts w:cs="Times New Roman"/>
          <w:sz w:val="28"/>
          <w:szCs w:val="28"/>
        </w:rPr>
      </w:pPr>
      <w:r>
        <w:rPr>
          <w:rFonts w:cs="Times New Roman"/>
          <w:sz w:val="28"/>
          <w:szCs w:val="28"/>
        </w:rPr>
        <w:t xml:space="preserve">За счёт победы в конкурсе по поддержке </w:t>
      </w:r>
      <w:r>
        <w:rPr>
          <w:rFonts w:cs="Times New Roman"/>
          <w:i/>
          <w:sz w:val="28"/>
          <w:szCs w:val="28"/>
        </w:rPr>
        <w:t>кинотеатров</w:t>
      </w:r>
      <w:r>
        <w:rPr>
          <w:rFonts w:cs="Times New Roman"/>
          <w:sz w:val="28"/>
          <w:szCs w:val="28"/>
        </w:rPr>
        <w:t xml:space="preserve"> в населённых пунктах РФ с количеством жителей менее 100 тыс. человек, ООО «Инновация» в ноябре 2017 г. был открыт кинозал, рассчитанный на 100 посадочных мест. </w:t>
        <w:br/>
        <w:t>В 2018 г. состоялось 270 кинопоказов, которые посмотрели 1362 человека. Посещаемость 1 киносеанса составляет 5 зрителей (средний показатель – 5,6).</w:t>
      </w:r>
    </w:p>
    <w:p>
      <w:pPr>
        <w:pStyle w:val="ListParagraph"/>
        <w:ind w:left="0" w:firstLine="709"/>
        <w:jc w:val="both"/>
        <w:rPr>
          <w:rFonts w:cs="Times New Roman"/>
          <w:sz w:val="28"/>
          <w:szCs w:val="28"/>
        </w:rPr>
      </w:pPr>
      <w:r>
        <w:rPr>
          <w:rFonts w:cs="Times New Roman"/>
          <w:sz w:val="28"/>
          <w:szCs w:val="28"/>
        </w:rPr>
        <w:t>Посещаемость библиотек в 2018 г. составила 5,1 посещения на 1 жителя (в среднем по региону – 3,3). Доля населения, пользующегося библиотеками – 75,4% (в среднем по региону – 38,6%). Книгообеспеченность составляет 11,3 экземпляра на 1 жителя (в среднем по региону – 6,8). К сети «Интернет» подключены 14 библиотек (82,3%). Для обеспечения 100% охвата в 2019 г. необходимо обеспечить подключение 3 библиотек: Алёшкинская, Федькинская и Белогорская сельские библиотеки.</w:t>
      </w:r>
    </w:p>
    <w:p>
      <w:pPr>
        <w:pStyle w:val="ListParagraph"/>
        <w:ind w:left="0" w:firstLine="709"/>
        <w:jc w:val="both"/>
        <w:rPr>
          <w:rFonts w:cs="Times New Roman"/>
          <w:sz w:val="28"/>
          <w:szCs w:val="28"/>
        </w:rPr>
      </w:pPr>
      <w:r>
        <w:rPr>
          <w:rFonts w:cs="Times New Roman"/>
          <w:sz w:val="28"/>
          <w:szCs w:val="28"/>
        </w:rPr>
        <w:t>Образовательную деятельность в сфере культуры осуществляет МБУ</w:t>
      </w:r>
      <w:r>
        <w:rPr>
          <w:rFonts w:cs="Times New Roman"/>
          <w:sz w:val="28"/>
          <w:szCs w:val="28"/>
          <w:lang w:val="en-US"/>
        </w:rPr>
        <w:t> </w:t>
      </w:r>
      <w:r>
        <w:rPr>
          <w:rFonts w:cs="Times New Roman"/>
          <w:sz w:val="28"/>
          <w:szCs w:val="28"/>
        </w:rPr>
        <w:t>ДО</w:t>
      </w:r>
      <w:r>
        <w:rPr>
          <w:rFonts w:cs="Times New Roman"/>
          <w:sz w:val="28"/>
          <w:szCs w:val="28"/>
          <w:lang w:val="en-US"/>
        </w:rPr>
        <w:t> </w:t>
      </w:r>
      <w:r>
        <w:rPr>
          <w:rFonts w:cs="Times New Roman"/>
          <w:sz w:val="28"/>
          <w:szCs w:val="28"/>
        </w:rPr>
        <w:t>«Тереньгульская детская школа искусств». Численность обучающихся – 69 человек – 3,6% от общей численности детей школьного возраста, что значительно ниже, чем в среднем по Ульяновской области – 11,1%.</w:t>
      </w:r>
    </w:p>
    <w:p>
      <w:pPr>
        <w:pStyle w:val="ListParagraph"/>
        <w:ind w:left="0" w:firstLine="709"/>
        <w:jc w:val="both"/>
        <w:rPr>
          <w:rFonts w:cs="Times New Roman"/>
          <w:sz w:val="28"/>
          <w:szCs w:val="28"/>
        </w:rPr>
      </w:pPr>
      <w:r>
        <w:rPr>
          <w:rFonts w:cs="Times New Roman"/>
          <w:sz w:val="28"/>
          <w:szCs w:val="28"/>
        </w:rPr>
        <w:t>По результатам независимой оценки качества услуг уровень удовлетворённости качеством услуг в Тереньгульской детской школе искусств составляет 75%. Однако уровень удовлетворённости комфортностью условий предоставления услуг и доступностью их получения составляет 31%, 33%</w:t>
      </w:r>
      <w:r>
        <w:rPr>
          <w:lang w:val="en-US"/>
        </w:rPr>
        <w:t> </w:t>
      </w:r>
      <w:r>
        <w:rPr>
          <w:rFonts w:cs="Times New Roman"/>
          <w:sz w:val="28"/>
          <w:szCs w:val="28"/>
        </w:rPr>
        <w:t>получателей услуг не удовлетворены материально-техническим обеспечением.</w:t>
      </w:r>
    </w:p>
    <w:p>
      <w:pPr>
        <w:pStyle w:val="ListParagraph"/>
        <w:ind w:left="0" w:firstLine="709"/>
        <w:jc w:val="both"/>
        <w:rPr>
          <w:rFonts w:cs="Times New Roman"/>
          <w:sz w:val="28"/>
          <w:szCs w:val="28"/>
        </w:rPr>
      </w:pPr>
      <w:r>
        <w:rPr>
          <w:rFonts w:cs="Times New Roman"/>
          <w:sz w:val="28"/>
          <w:szCs w:val="28"/>
        </w:rPr>
        <w:t>По результатам независимой оценки качества услуг учреждения культуры в Тереньгульском районе имеют низкие показатели: библиотеки – 23 место из</w:t>
      </w:r>
      <w:r>
        <w:rPr>
          <w:rFonts w:cs="Times New Roman"/>
          <w:sz w:val="28"/>
          <w:szCs w:val="28"/>
          <w:lang w:val="en-US"/>
        </w:rPr>
        <w:t> </w:t>
      </w:r>
      <w:r>
        <w:rPr>
          <w:rFonts w:cs="Times New Roman"/>
          <w:sz w:val="28"/>
          <w:szCs w:val="28"/>
        </w:rPr>
        <w:t>24 организаций, культурно-досуговые организации – 35 место (лучший показатель) из 56 организаций у МУК «КДЦ» МО «Тереньгульское городское поселение», 47 место (худший показатель) у МУК «КДЦ» МО «Тереньгульский район».</w:t>
      </w:r>
    </w:p>
    <w:p>
      <w:pPr>
        <w:pStyle w:val="ListParagraph"/>
        <w:ind w:left="0" w:firstLine="709"/>
        <w:jc w:val="both"/>
        <w:rPr>
          <w:rFonts w:cs="Times New Roman"/>
          <w:sz w:val="28"/>
          <w:szCs w:val="28"/>
        </w:rPr>
      </w:pPr>
      <w:r>
        <w:rPr>
          <w:rFonts w:cs="Times New Roman"/>
          <w:sz w:val="28"/>
          <w:szCs w:val="28"/>
        </w:rPr>
      </w:r>
    </w:p>
    <w:p>
      <w:pPr>
        <w:pStyle w:val="32"/>
        <w:rPr>
          <w:b w:val="false"/>
          <w:b w:val="false"/>
        </w:rPr>
      </w:pPr>
      <w:bookmarkStart w:id="22" w:name="_Toc2237197"/>
      <w:bookmarkStart w:id="23" w:name="_Toc4404996"/>
      <w:r>
        <w:rPr/>
        <w:t>1.5.6. Физическая культура и спорт</w:t>
      </w:r>
      <w:bookmarkEnd w:id="22"/>
      <w:bookmarkEnd w:id="23"/>
    </w:p>
    <w:p>
      <w:pPr>
        <w:pStyle w:val="Normal"/>
        <w:widowControl w:val="false"/>
        <w:ind w:firstLine="709"/>
        <w:jc w:val="both"/>
        <w:rPr>
          <w:sz w:val="28"/>
          <w:szCs w:val="28"/>
        </w:rPr>
      </w:pPr>
      <w:r>
        <w:rPr>
          <w:sz w:val="28"/>
          <w:szCs w:val="28"/>
        </w:rPr>
        <w:t>Состояние сферы физической культуры и спорта в Тереньгульском районе в целом позволяет обеспечивать возможности для жителей муниципалитета систематически заниматься физической культурой и массовым спортом, вести здоровый образ жизни, развивать спорт высших достижений.</w:t>
      </w:r>
    </w:p>
    <w:p>
      <w:pPr>
        <w:pStyle w:val="Normal"/>
        <w:widowControl w:val="false"/>
        <w:ind w:firstLine="709"/>
        <w:jc w:val="both"/>
        <w:rPr>
          <w:sz w:val="28"/>
          <w:szCs w:val="28"/>
        </w:rPr>
      </w:pPr>
      <w:r>
        <w:rPr>
          <w:sz w:val="28"/>
          <w:szCs w:val="28"/>
        </w:rPr>
        <w:t>На территории муниципального образования спортом и физической культурой занимается 6773 человека, что практически в 2 раза больше по</w:t>
      </w:r>
      <w:r>
        <w:rPr>
          <w:sz w:val="28"/>
          <w:szCs w:val="28"/>
          <w:lang w:val="en-US"/>
        </w:rPr>
        <w:t> </w:t>
      </w:r>
      <w:r>
        <w:rPr>
          <w:sz w:val="28"/>
          <w:szCs w:val="28"/>
        </w:rPr>
        <w:t>сравнению с 2008 г. Динамика показателей, отражающих вовлеченность жителей Тереньгульского района в активное занятие физической культурой и спортом за период 2008-2018 гг., представлена в таблице 16.</w:t>
      </w:r>
    </w:p>
    <w:p>
      <w:pPr>
        <w:pStyle w:val="Normal"/>
        <w:widowControl w:val="false"/>
        <w:spacing w:before="120" w:after="120"/>
        <w:jc w:val="center"/>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16</w:t>
      </w:r>
      <w:r>
        <w:rPr>
          <w:sz w:val="28"/>
          <w:b/>
          <w:szCs w:val="28"/>
        </w:rPr>
        <w:fldChar w:fldCharType="end"/>
      </w:r>
      <w:r>
        <w:rPr>
          <w:b/>
          <w:sz w:val="28"/>
          <w:szCs w:val="28"/>
        </w:rPr>
        <w:t xml:space="preserve"> – Динамика показателей количества жителей </w:t>
        <w:br/>
        <w:t xml:space="preserve">Тереньгульского района, активно занимающихся физической культурой </w:t>
        <w:br/>
        <w:t>и спортом за 2008-2018 гг.</w:t>
      </w:r>
    </w:p>
    <w:tbl>
      <w:tblPr>
        <w:tblStyle w:val="af1"/>
        <w:tblW w:w="9854" w:type="dxa"/>
        <w:jc w:val="left"/>
        <w:tblInd w:w="0" w:type="dxa"/>
        <w:tblCellMar>
          <w:top w:w="0" w:type="dxa"/>
          <w:left w:w="108" w:type="dxa"/>
          <w:bottom w:w="0" w:type="dxa"/>
          <w:right w:w="108" w:type="dxa"/>
        </w:tblCellMar>
        <w:tblLook w:noVBand="1" w:val="04a0" w:noHBand="0" w:lastColumn="0" w:firstColumn="1" w:lastRow="0" w:firstRow="1"/>
      </w:tblPr>
      <w:tblGrid>
        <w:gridCol w:w="1837"/>
        <w:gridCol w:w="728"/>
        <w:gridCol w:w="730"/>
        <w:gridCol w:w="728"/>
        <w:gridCol w:w="728"/>
        <w:gridCol w:w="729"/>
        <w:gridCol w:w="729"/>
        <w:gridCol w:w="731"/>
        <w:gridCol w:w="729"/>
        <w:gridCol w:w="728"/>
        <w:gridCol w:w="729"/>
        <w:gridCol w:w="727"/>
      </w:tblGrid>
      <w:tr>
        <w:trPr/>
        <w:tc>
          <w:tcPr>
            <w:tcW w:w="1837"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Наименование показателя</w:t>
            </w:r>
          </w:p>
        </w:tc>
        <w:tc>
          <w:tcPr>
            <w:tcW w:w="728"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2008</w:t>
            </w:r>
          </w:p>
        </w:tc>
        <w:tc>
          <w:tcPr>
            <w:tcW w:w="730"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2009</w:t>
            </w:r>
          </w:p>
        </w:tc>
        <w:tc>
          <w:tcPr>
            <w:tcW w:w="728"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2010</w:t>
            </w:r>
          </w:p>
        </w:tc>
        <w:tc>
          <w:tcPr>
            <w:tcW w:w="728"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2011</w:t>
            </w:r>
          </w:p>
        </w:tc>
        <w:tc>
          <w:tcPr>
            <w:tcW w:w="729"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2012</w:t>
            </w:r>
          </w:p>
        </w:tc>
        <w:tc>
          <w:tcPr>
            <w:tcW w:w="729"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2013</w:t>
            </w:r>
          </w:p>
        </w:tc>
        <w:tc>
          <w:tcPr>
            <w:tcW w:w="731"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2014</w:t>
            </w:r>
          </w:p>
        </w:tc>
        <w:tc>
          <w:tcPr>
            <w:tcW w:w="729"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2015</w:t>
            </w:r>
          </w:p>
        </w:tc>
        <w:tc>
          <w:tcPr>
            <w:tcW w:w="728"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2016</w:t>
            </w:r>
          </w:p>
        </w:tc>
        <w:tc>
          <w:tcPr>
            <w:tcW w:w="729"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2017</w:t>
            </w:r>
          </w:p>
        </w:tc>
        <w:tc>
          <w:tcPr>
            <w:tcW w:w="727"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2018</w:t>
            </w:r>
          </w:p>
        </w:tc>
      </w:tr>
      <w:tr>
        <w:trPr/>
        <w:tc>
          <w:tcPr>
            <w:tcW w:w="1837" w:type="dxa"/>
            <w:tcBorders/>
            <w:shd w:fill="auto" w:val="clear"/>
          </w:tcPr>
          <w:p>
            <w:pPr>
              <w:pStyle w:val="Normal"/>
              <w:spacing w:lineRule="auto" w:line="228" w:before="0" w:after="0"/>
              <w:rPr>
                <w:rFonts w:cs="Times New Roman"/>
                <w:spacing w:val="-4"/>
                <w:sz w:val="22"/>
                <w:szCs w:val="22"/>
              </w:rPr>
            </w:pPr>
            <w:r>
              <w:rPr>
                <w:rFonts w:cs="Times New Roman"/>
                <w:spacing w:val="-4"/>
                <w:sz w:val="22"/>
                <w:szCs w:val="22"/>
              </w:rPr>
              <w:t>Число занимающихся спортом и физической культурой, чел.:</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3534</w:t>
            </w:r>
          </w:p>
        </w:tc>
        <w:tc>
          <w:tcPr>
            <w:tcW w:w="730" w:type="dxa"/>
            <w:tcBorders/>
            <w:shd w:fill="auto" w:val="clear"/>
          </w:tcPr>
          <w:p>
            <w:pPr>
              <w:pStyle w:val="Normal"/>
              <w:spacing w:lineRule="auto" w:line="228" w:before="0" w:after="0"/>
              <w:jc w:val="center"/>
              <w:rPr>
                <w:rFonts w:cs="Times New Roman"/>
                <w:sz w:val="22"/>
                <w:szCs w:val="22"/>
              </w:rPr>
            </w:pPr>
            <w:r>
              <w:rPr>
                <w:rFonts w:cs="Times New Roman"/>
                <w:sz w:val="22"/>
                <w:szCs w:val="22"/>
              </w:rPr>
              <w:t>4079</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5284</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5472</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5507</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5517</w:t>
            </w:r>
          </w:p>
        </w:tc>
        <w:tc>
          <w:tcPr>
            <w:tcW w:w="731" w:type="dxa"/>
            <w:tcBorders/>
            <w:shd w:fill="auto" w:val="clear"/>
          </w:tcPr>
          <w:p>
            <w:pPr>
              <w:pStyle w:val="Normal"/>
              <w:spacing w:lineRule="auto" w:line="228" w:before="0" w:after="0"/>
              <w:jc w:val="center"/>
              <w:rPr>
                <w:rFonts w:cs="Times New Roman"/>
                <w:sz w:val="22"/>
                <w:szCs w:val="22"/>
              </w:rPr>
            </w:pPr>
            <w:r>
              <w:rPr>
                <w:rFonts w:cs="Times New Roman"/>
                <w:sz w:val="22"/>
                <w:szCs w:val="22"/>
              </w:rPr>
              <w:t>5524</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5882</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6159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6230</w:t>
            </w:r>
          </w:p>
        </w:tc>
        <w:tc>
          <w:tcPr>
            <w:tcW w:w="727"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6773</w:t>
            </w:r>
          </w:p>
        </w:tc>
      </w:tr>
      <w:tr>
        <w:trPr/>
        <w:tc>
          <w:tcPr>
            <w:tcW w:w="1837" w:type="dxa"/>
            <w:tcBorders/>
            <w:shd w:fill="auto" w:val="clear"/>
          </w:tcPr>
          <w:p>
            <w:pPr>
              <w:pStyle w:val="Normal"/>
              <w:spacing w:lineRule="auto" w:line="228" w:before="0" w:after="0"/>
              <w:ind w:left="142" w:hanging="0"/>
              <w:rPr>
                <w:rFonts w:cs="Times New Roman"/>
                <w:sz w:val="22"/>
                <w:szCs w:val="22"/>
              </w:rPr>
            </w:pPr>
            <w:r>
              <w:rPr>
                <w:rFonts w:cs="Times New Roman"/>
                <w:sz w:val="22"/>
                <w:szCs w:val="22"/>
              </w:rPr>
              <w:t>сельское население, чел.</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2327</w:t>
            </w:r>
          </w:p>
        </w:tc>
        <w:tc>
          <w:tcPr>
            <w:tcW w:w="730" w:type="dxa"/>
            <w:tcBorders/>
            <w:shd w:fill="auto" w:val="clear"/>
          </w:tcPr>
          <w:p>
            <w:pPr>
              <w:pStyle w:val="Normal"/>
              <w:spacing w:lineRule="auto" w:line="228" w:before="0" w:after="0"/>
              <w:jc w:val="center"/>
              <w:rPr>
                <w:rFonts w:cs="Times New Roman"/>
                <w:sz w:val="22"/>
                <w:szCs w:val="22"/>
              </w:rPr>
            </w:pPr>
            <w:r>
              <w:rPr>
                <w:rFonts w:cs="Times New Roman"/>
                <w:sz w:val="22"/>
                <w:szCs w:val="22"/>
              </w:rPr>
              <w:t>2192</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3166</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3099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2708</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2599</w:t>
            </w:r>
          </w:p>
        </w:tc>
        <w:tc>
          <w:tcPr>
            <w:tcW w:w="731" w:type="dxa"/>
            <w:tcBorders/>
            <w:shd w:fill="auto" w:val="clear"/>
          </w:tcPr>
          <w:p>
            <w:pPr>
              <w:pStyle w:val="Normal"/>
              <w:spacing w:lineRule="auto" w:line="228" w:before="0" w:after="0"/>
              <w:jc w:val="center"/>
              <w:rPr>
                <w:rFonts w:cs="Times New Roman"/>
                <w:sz w:val="22"/>
                <w:szCs w:val="22"/>
              </w:rPr>
            </w:pPr>
            <w:r>
              <w:rPr>
                <w:rFonts w:cs="Times New Roman"/>
                <w:sz w:val="22"/>
                <w:szCs w:val="22"/>
              </w:rPr>
              <w:t>2415</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2802</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2330</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3042</w:t>
            </w:r>
          </w:p>
        </w:tc>
        <w:tc>
          <w:tcPr>
            <w:tcW w:w="727" w:type="dxa"/>
            <w:tcBorders/>
            <w:shd w:fill="auto" w:val="clear"/>
          </w:tcPr>
          <w:p>
            <w:pPr>
              <w:pStyle w:val="Normal"/>
              <w:spacing w:lineRule="auto" w:line="228" w:before="0" w:after="0"/>
              <w:jc w:val="center"/>
              <w:rPr>
                <w:rFonts w:cs="Times New Roman"/>
                <w:sz w:val="22"/>
                <w:szCs w:val="22"/>
              </w:rPr>
            </w:pPr>
            <w:r>
              <w:rPr>
                <w:rFonts w:cs="Times New Roman"/>
                <w:sz w:val="22"/>
                <w:szCs w:val="22"/>
              </w:rPr>
              <w:t>3154</w:t>
            </w:r>
          </w:p>
        </w:tc>
      </w:tr>
      <w:tr>
        <w:trPr/>
        <w:tc>
          <w:tcPr>
            <w:tcW w:w="1837" w:type="dxa"/>
            <w:tcBorders/>
            <w:shd w:fill="auto" w:val="clear"/>
          </w:tcPr>
          <w:p>
            <w:pPr>
              <w:pStyle w:val="Normal"/>
              <w:spacing w:lineRule="auto" w:line="228" w:before="0" w:after="0"/>
              <w:ind w:left="142" w:hanging="0"/>
              <w:rPr>
                <w:rFonts w:cs="Times New Roman"/>
                <w:sz w:val="22"/>
                <w:szCs w:val="22"/>
                <w:lang w:val="en-US"/>
              </w:rPr>
            </w:pPr>
            <w:r>
              <w:rPr>
                <w:rFonts w:cs="Times New Roman"/>
                <w:sz w:val="22"/>
                <w:szCs w:val="22"/>
              </w:rPr>
              <w:t>городское население, чел</w:t>
            </w:r>
            <w:r>
              <w:rPr>
                <w:rFonts w:cs="Times New Roman"/>
                <w:sz w:val="22"/>
                <w:szCs w:val="22"/>
                <w:lang w:val="en-US"/>
              </w:rPr>
              <w:t>.</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1207</w:t>
            </w:r>
          </w:p>
        </w:tc>
        <w:tc>
          <w:tcPr>
            <w:tcW w:w="730" w:type="dxa"/>
            <w:tcBorders/>
            <w:shd w:fill="auto" w:val="clear"/>
          </w:tcPr>
          <w:p>
            <w:pPr>
              <w:pStyle w:val="Normal"/>
              <w:spacing w:lineRule="auto" w:line="228" w:before="0" w:after="0"/>
              <w:jc w:val="center"/>
              <w:rPr>
                <w:rFonts w:cs="Times New Roman"/>
                <w:sz w:val="22"/>
                <w:szCs w:val="22"/>
              </w:rPr>
            </w:pPr>
            <w:r>
              <w:rPr>
                <w:rFonts w:cs="Times New Roman"/>
                <w:sz w:val="22"/>
                <w:szCs w:val="22"/>
              </w:rPr>
              <w:t>1887</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2118</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2373</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2799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2918</w:t>
            </w:r>
          </w:p>
        </w:tc>
        <w:tc>
          <w:tcPr>
            <w:tcW w:w="731" w:type="dxa"/>
            <w:tcBorders/>
            <w:shd w:fill="auto" w:val="clear"/>
          </w:tcPr>
          <w:p>
            <w:pPr>
              <w:pStyle w:val="Normal"/>
              <w:spacing w:lineRule="auto" w:line="228" w:before="0" w:after="0"/>
              <w:jc w:val="center"/>
              <w:rPr>
                <w:rFonts w:cs="Times New Roman"/>
                <w:sz w:val="22"/>
                <w:szCs w:val="22"/>
              </w:rPr>
            </w:pPr>
            <w:r>
              <w:rPr>
                <w:rFonts w:cs="Times New Roman"/>
                <w:sz w:val="22"/>
                <w:szCs w:val="22"/>
              </w:rPr>
              <w:t>3109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3080</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3829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3188</w:t>
            </w:r>
          </w:p>
        </w:tc>
        <w:tc>
          <w:tcPr>
            <w:tcW w:w="727" w:type="dxa"/>
            <w:tcBorders/>
            <w:shd w:fill="auto" w:val="clear"/>
          </w:tcPr>
          <w:p>
            <w:pPr>
              <w:pStyle w:val="Normal"/>
              <w:spacing w:lineRule="auto" w:line="228" w:before="0" w:after="0"/>
              <w:jc w:val="center"/>
              <w:rPr>
                <w:rFonts w:cs="Times New Roman"/>
                <w:sz w:val="22"/>
                <w:szCs w:val="22"/>
              </w:rPr>
            </w:pPr>
            <w:r>
              <w:rPr>
                <w:rFonts w:cs="Times New Roman"/>
                <w:sz w:val="22"/>
                <w:szCs w:val="22"/>
              </w:rPr>
              <w:t>3619</w:t>
            </w:r>
          </w:p>
        </w:tc>
      </w:tr>
      <w:tr>
        <w:trPr/>
        <w:tc>
          <w:tcPr>
            <w:tcW w:w="1837" w:type="dxa"/>
            <w:tcBorders/>
            <w:shd w:fill="auto" w:val="clear"/>
          </w:tcPr>
          <w:p>
            <w:pPr>
              <w:pStyle w:val="Normal"/>
              <w:widowControl w:val="false"/>
              <w:spacing w:lineRule="auto" w:line="228" w:before="0" w:after="0"/>
              <w:rPr>
                <w:rFonts w:cs="Times New Roman"/>
                <w:sz w:val="22"/>
                <w:szCs w:val="22"/>
              </w:rPr>
            </w:pPr>
            <w:r>
              <w:rPr>
                <w:rFonts w:cs="Times New Roman"/>
                <w:sz w:val="22"/>
                <w:szCs w:val="22"/>
              </w:rPr>
              <w:t>Доля граждан, систематически занимающихся спортом и физической культурой, в общей численности населения района, %</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18,1</w:t>
            </w:r>
          </w:p>
        </w:tc>
        <w:tc>
          <w:tcPr>
            <w:tcW w:w="730" w:type="dxa"/>
            <w:tcBorders/>
            <w:shd w:fill="auto" w:val="clear"/>
          </w:tcPr>
          <w:p>
            <w:pPr>
              <w:pStyle w:val="Normal"/>
              <w:spacing w:lineRule="auto" w:line="228" w:before="0" w:after="0"/>
              <w:jc w:val="center"/>
              <w:rPr>
                <w:rFonts w:cs="Times New Roman"/>
                <w:sz w:val="22"/>
                <w:szCs w:val="22"/>
              </w:rPr>
            </w:pPr>
            <w:r>
              <w:rPr>
                <w:rFonts w:cs="Times New Roman"/>
                <w:sz w:val="22"/>
                <w:szCs w:val="22"/>
              </w:rPr>
              <w:t>21,5</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27,9</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29,4</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29,7</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30,1</w:t>
            </w:r>
          </w:p>
        </w:tc>
        <w:tc>
          <w:tcPr>
            <w:tcW w:w="731" w:type="dxa"/>
            <w:tcBorders/>
            <w:shd w:fill="auto" w:val="clear"/>
          </w:tcPr>
          <w:p>
            <w:pPr>
              <w:pStyle w:val="Normal"/>
              <w:spacing w:lineRule="auto" w:line="228" w:before="0" w:after="0"/>
              <w:jc w:val="center"/>
              <w:rPr>
                <w:rFonts w:cs="Times New Roman"/>
                <w:sz w:val="22"/>
                <w:szCs w:val="22"/>
              </w:rPr>
            </w:pPr>
            <w:r>
              <w:rPr>
                <w:rFonts w:cs="Times New Roman"/>
                <w:sz w:val="22"/>
                <w:szCs w:val="22"/>
              </w:rPr>
              <w:t>30,6</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33,0</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34,8</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35,0</w:t>
            </w:r>
          </w:p>
        </w:tc>
        <w:tc>
          <w:tcPr>
            <w:tcW w:w="727"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39,1</w:t>
            </w:r>
          </w:p>
        </w:tc>
      </w:tr>
    </w:tbl>
    <w:p>
      <w:pPr>
        <w:pStyle w:val="Normal"/>
        <w:widowControl w:val="false"/>
        <w:ind w:firstLine="709"/>
        <w:jc w:val="both"/>
        <w:rPr>
          <w:sz w:val="28"/>
          <w:szCs w:val="28"/>
        </w:rPr>
      </w:pPr>
      <w:r>
        <w:rPr>
          <w:sz w:val="28"/>
          <w:szCs w:val="28"/>
        </w:rPr>
        <w:t xml:space="preserve">В численности граждан, занимающихся физической культурой и спортом, преобладает городское население </w:t>
      </w:r>
      <w:r>
        <w:rPr>
          <w:rFonts w:eastAsia="Symbol" w:cs="Symbol" w:ascii="Symbol" w:hAnsi="Symbol"/>
          <w:sz w:val="28"/>
          <w:szCs w:val="28"/>
        </w:rPr>
        <w:t></w:t>
      </w:r>
      <w:r>
        <w:rPr>
          <w:sz w:val="28"/>
          <w:szCs w:val="28"/>
        </w:rPr>
        <w:t xml:space="preserve"> 53,4%. Наиболее активными возрастными категориями являются категории 19-29 лет и 30-54 (59) лет </w:t>
      </w:r>
      <w:r>
        <w:rPr>
          <w:rFonts w:eastAsia="Symbol" w:cs="Symbol" w:ascii="Symbol" w:hAnsi="Symbol"/>
          <w:sz w:val="28"/>
          <w:szCs w:val="28"/>
        </w:rPr>
        <w:t></w:t>
      </w:r>
      <w:r>
        <w:rPr>
          <w:sz w:val="28"/>
          <w:szCs w:val="28"/>
        </w:rPr>
        <w:t xml:space="preserve"> 3675 и 1554 занимающихся соответственно.</w:t>
      </w:r>
    </w:p>
    <w:p>
      <w:pPr>
        <w:pStyle w:val="Normal"/>
        <w:widowControl w:val="false"/>
        <w:ind w:firstLine="709"/>
        <w:jc w:val="both"/>
        <w:rPr>
          <w:sz w:val="28"/>
          <w:szCs w:val="28"/>
        </w:rPr>
      </w:pPr>
      <w:r>
        <w:rPr>
          <w:sz w:val="28"/>
          <w:szCs w:val="28"/>
        </w:rPr>
        <w:t xml:space="preserve">Общая численность штатных работников физической культуры и спорта составляет 21 человек, из них с высшим образованием </w:t>
      </w:r>
      <w:r>
        <w:rPr>
          <w:rFonts w:eastAsia="Symbol" w:cs="Symbol" w:ascii="Symbol" w:hAnsi="Symbol"/>
          <w:sz w:val="28"/>
          <w:szCs w:val="28"/>
        </w:rPr>
        <w:t></w:t>
      </w:r>
      <w:r>
        <w:rPr>
          <w:sz w:val="28"/>
          <w:szCs w:val="28"/>
        </w:rPr>
        <w:t xml:space="preserve"> 14 человек, со средним профессиональным образованием </w:t>
      </w:r>
      <w:r>
        <w:rPr>
          <w:rFonts w:eastAsia="Symbol" w:cs="Symbol" w:ascii="Symbol" w:hAnsi="Symbol"/>
          <w:sz w:val="28"/>
          <w:szCs w:val="28"/>
        </w:rPr>
        <w:t></w:t>
      </w:r>
      <w:r>
        <w:rPr>
          <w:sz w:val="28"/>
          <w:szCs w:val="28"/>
        </w:rPr>
        <w:t xml:space="preserve"> 7 человек. В сельской местности работают 14 специалистов (66,7% от общей численности работников).</w:t>
      </w:r>
    </w:p>
    <w:p>
      <w:pPr>
        <w:pStyle w:val="Normal"/>
        <w:widowControl w:val="false"/>
        <w:ind w:firstLine="709"/>
        <w:jc w:val="both"/>
        <w:rPr>
          <w:sz w:val="28"/>
          <w:szCs w:val="28"/>
        </w:rPr>
      </w:pPr>
      <w:r>
        <w:rPr>
          <w:sz w:val="28"/>
          <w:szCs w:val="28"/>
        </w:rPr>
        <w:t>В структуру материально-технической базы в области физической культуры и спорта входят 43 спортивных сооружения, среди которых</w:t>
        <w:br/>
        <w:t>25</w:t>
      </w:r>
      <w:r>
        <w:rPr>
          <w:sz w:val="28"/>
          <w:szCs w:val="28"/>
          <w:lang w:val="en-US"/>
        </w:rPr>
        <w:t> </w:t>
      </w:r>
      <w:r>
        <w:rPr>
          <w:sz w:val="28"/>
          <w:szCs w:val="28"/>
        </w:rPr>
        <w:t>плоскостных сооружений и 18 спортивных залов. В сельской местности находится 32 спортивных сооружения. Единовременная пропускная способность спортивных сооружений составляет 1259 человек.</w:t>
      </w:r>
    </w:p>
    <w:p>
      <w:pPr>
        <w:pStyle w:val="Normal"/>
        <w:widowControl w:val="false"/>
        <w:ind w:firstLine="709"/>
        <w:jc w:val="both"/>
        <w:rPr>
          <w:sz w:val="28"/>
          <w:szCs w:val="28"/>
        </w:rPr>
      </w:pPr>
      <w:r>
        <w:rPr>
          <w:b/>
          <w:sz w:val="28"/>
          <w:szCs w:val="28"/>
        </w:rPr>
        <w:t>На территории Тереньгульского района развивается 12 видов спорта с</w:t>
      </w:r>
      <w:r>
        <w:rPr>
          <w:b/>
          <w:sz w:val="28"/>
          <w:szCs w:val="28"/>
          <w:lang w:val="en-US"/>
        </w:rPr>
        <w:t> </w:t>
      </w:r>
      <w:r>
        <w:rPr>
          <w:b/>
          <w:sz w:val="28"/>
          <w:szCs w:val="28"/>
        </w:rPr>
        <w:t xml:space="preserve">общим охватом занимающихся 2682 человека, их которых 38% </w:t>
      </w:r>
      <w:r>
        <w:rPr>
          <w:rFonts w:eastAsia="Symbol" w:cs="Symbol" w:ascii="Symbol" w:hAnsi="Symbol"/>
          <w:b/>
          <w:sz w:val="28"/>
          <w:szCs w:val="28"/>
        </w:rPr>
        <w:t></w:t>
      </w:r>
      <w:r>
        <w:rPr>
          <w:b/>
          <w:sz w:val="28"/>
          <w:szCs w:val="28"/>
        </w:rPr>
        <w:t xml:space="preserve"> женщины.</w:t>
      </w:r>
      <w:r>
        <w:rPr>
          <w:sz w:val="28"/>
          <w:szCs w:val="28"/>
        </w:rPr>
        <w:t xml:space="preserve"> </w:t>
      </w:r>
      <w:r>
        <w:rPr>
          <w:b/>
          <w:sz w:val="28"/>
          <w:szCs w:val="28"/>
        </w:rPr>
        <w:t>Базовыми видами спорта в районе являются футбол и волейбол с</w:t>
      </w:r>
      <w:r>
        <w:rPr>
          <w:b/>
          <w:sz w:val="28"/>
          <w:szCs w:val="28"/>
          <w:lang w:val="en-US"/>
        </w:rPr>
        <w:t> </w:t>
      </w:r>
      <w:r>
        <w:rPr>
          <w:b/>
          <w:sz w:val="28"/>
          <w:szCs w:val="28"/>
        </w:rPr>
        <w:t>численностью занимающихся 1040 и 412 человек соответственно.</w:t>
      </w:r>
      <w:r>
        <w:rPr>
          <w:sz w:val="28"/>
          <w:szCs w:val="28"/>
        </w:rPr>
        <w:t xml:space="preserve"> Сборные команды по этим видам спорта являются постоянными участниками чемпионатов и первенств Ульяновской области и всероссийских соревнований.</w:t>
      </w:r>
    </w:p>
    <w:p>
      <w:pPr>
        <w:pStyle w:val="Normal"/>
        <w:widowControl w:val="false"/>
        <w:ind w:firstLine="709"/>
        <w:jc w:val="both"/>
        <w:rPr>
          <w:rFonts w:cs="Times New Roman"/>
          <w:spacing w:val="2"/>
          <w:sz w:val="28"/>
          <w:szCs w:val="28"/>
        </w:rPr>
      </w:pPr>
      <w:r>
        <w:rPr>
          <w:sz w:val="28"/>
          <w:szCs w:val="28"/>
        </w:rPr>
        <w:t>Подготовку молодёжи по базовым видам спорта на территории муниципалитета осуществляет Тереньгульская ДЮСШ имени Г.В. Бакушева. Педагогический процесс 196 воспитанников обеспечивают 9</w:t>
      </w:r>
      <w:r>
        <w:rPr>
          <w:sz w:val="28"/>
          <w:szCs w:val="28"/>
          <w:lang w:val="en-US"/>
        </w:rPr>
        <w:t> </w:t>
      </w:r>
      <w:r>
        <w:rPr>
          <w:sz w:val="28"/>
          <w:szCs w:val="28"/>
        </w:rPr>
        <w:t>квалифицированных тренеров-преподавателей, из которых 4 штатных сотрудника и 5 совместителей.</w:t>
      </w:r>
    </w:p>
    <w:p>
      <w:pPr>
        <w:pStyle w:val="Normal"/>
        <w:widowControl w:val="false"/>
        <w:ind w:firstLine="709"/>
        <w:jc w:val="both"/>
        <w:rPr>
          <w:rFonts w:cs="Times New Roman"/>
          <w:sz w:val="28"/>
          <w:szCs w:val="28"/>
        </w:rPr>
      </w:pPr>
      <w:r>
        <w:rPr>
          <w:rFonts w:cs="Times New Roman"/>
          <w:sz w:val="28"/>
          <w:szCs w:val="28"/>
        </w:rPr>
        <w:t>В сельских муниципальных районах приоритетными видами спорта являются:</w:t>
      </w:r>
    </w:p>
    <w:p>
      <w:pPr>
        <w:pStyle w:val="Normal"/>
        <w:widowControl w:val="false"/>
        <w:ind w:firstLine="709"/>
        <w:jc w:val="both"/>
        <w:rPr>
          <w:rFonts w:cs="Times New Roman"/>
          <w:sz w:val="28"/>
          <w:szCs w:val="28"/>
        </w:rPr>
      </w:pPr>
      <w:r>
        <w:rPr>
          <w:rFonts w:cs="Times New Roman"/>
          <w:sz w:val="28"/>
          <w:szCs w:val="28"/>
        </w:rPr>
        <w:t>- Подкуровское сельское поселение: лыжные гонки, волейбол, тяжёлая атлетика, фитнес для взрослого населения;</w:t>
      </w:r>
    </w:p>
    <w:p>
      <w:pPr>
        <w:pStyle w:val="Normal"/>
        <w:widowControl w:val="false"/>
        <w:ind w:firstLine="709"/>
        <w:jc w:val="both"/>
        <w:rPr>
          <w:rFonts w:cs="Times New Roman"/>
          <w:sz w:val="28"/>
          <w:szCs w:val="28"/>
        </w:rPr>
      </w:pPr>
      <w:r>
        <w:rPr>
          <w:rFonts w:cs="Times New Roman"/>
          <w:sz w:val="28"/>
          <w:szCs w:val="28"/>
        </w:rPr>
        <w:t>- Красноборское сельское поселение: бадминтон;</w:t>
      </w:r>
    </w:p>
    <w:p>
      <w:pPr>
        <w:pStyle w:val="Normal"/>
        <w:widowControl w:val="false"/>
        <w:ind w:firstLine="709"/>
        <w:jc w:val="both"/>
        <w:rPr>
          <w:rFonts w:cs="Times New Roman"/>
          <w:sz w:val="28"/>
          <w:szCs w:val="28"/>
        </w:rPr>
      </w:pPr>
      <w:r>
        <w:rPr>
          <w:rFonts w:cs="Times New Roman"/>
          <w:sz w:val="28"/>
          <w:szCs w:val="28"/>
        </w:rPr>
        <w:t>- Ясаноташлинское сельское поселение: волейбол, лыжные гонки, лёгкая атлетика, киокисинкай-каратэ;</w:t>
      </w:r>
    </w:p>
    <w:p>
      <w:pPr>
        <w:pStyle w:val="Normal"/>
        <w:widowControl w:val="false"/>
        <w:ind w:firstLine="709"/>
        <w:jc w:val="both"/>
        <w:rPr>
          <w:rFonts w:cs="Times New Roman"/>
          <w:sz w:val="28"/>
          <w:szCs w:val="28"/>
        </w:rPr>
      </w:pPr>
      <w:r>
        <w:rPr>
          <w:rFonts w:cs="Times New Roman"/>
          <w:sz w:val="28"/>
          <w:szCs w:val="28"/>
        </w:rPr>
        <w:t>- Белогорское сельское поселение: волейбол;</w:t>
      </w:r>
    </w:p>
    <w:p>
      <w:pPr>
        <w:pStyle w:val="Normal"/>
        <w:widowControl w:val="false"/>
        <w:ind w:firstLine="709"/>
        <w:jc w:val="both"/>
        <w:rPr>
          <w:rFonts w:cs="Times New Roman"/>
          <w:sz w:val="28"/>
          <w:szCs w:val="28"/>
        </w:rPr>
      </w:pPr>
      <w:r>
        <w:rPr>
          <w:rFonts w:cs="Times New Roman"/>
          <w:sz w:val="28"/>
          <w:szCs w:val="28"/>
        </w:rPr>
        <w:t>- Михайловское сельское поселение: волейбол.</w:t>
      </w:r>
    </w:p>
    <w:p>
      <w:pPr>
        <w:pStyle w:val="Normal"/>
        <w:widowControl w:val="false"/>
        <w:ind w:firstLine="709"/>
        <w:jc w:val="both"/>
        <w:rPr>
          <w:rFonts w:cs="Times New Roman"/>
          <w:sz w:val="28"/>
          <w:szCs w:val="28"/>
        </w:rPr>
      </w:pPr>
      <w:r>
        <w:rPr>
          <w:rFonts w:cs="Times New Roman"/>
          <w:sz w:val="28"/>
          <w:szCs w:val="28"/>
        </w:rPr>
        <w:t>Огромное внимание физическому воспитанию уделяется через проведение спортивных и физкультурно-оздоровительных мероприятий. В</w:t>
      </w:r>
      <w:r>
        <w:rPr>
          <w:rFonts w:cs="Times New Roman"/>
          <w:sz w:val="28"/>
          <w:szCs w:val="28"/>
          <w:lang w:val="en-US"/>
        </w:rPr>
        <w:t> </w:t>
      </w:r>
      <w:r>
        <w:rPr>
          <w:rFonts w:cs="Times New Roman"/>
          <w:sz w:val="28"/>
          <w:szCs w:val="28"/>
        </w:rPr>
        <w:t>2018</w:t>
      </w:r>
      <w:r>
        <w:rPr>
          <w:rFonts w:cs="Times New Roman"/>
          <w:sz w:val="28"/>
          <w:szCs w:val="28"/>
          <w:lang w:val="en-US"/>
        </w:rPr>
        <w:t> </w:t>
      </w:r>
      <w:r>
        <w:rPr>
          <w:rFonts w:cs="Times New Roman"/>
          <w:sz w:val="28"/>
          <w:szCs w:val="28"/>
        </w:rPr>
        <w:t>г было организовано 81 мероприятие с численностью участников 1176</w:t>
      </w:r>
      <w:r>
        <w:rPr>
          <w:rFonts w:cs="Times New Roman"/>
          <w:sz w:val="28"/>
          <w:szCs w:val="28"/>
          <w:lang w:val="en-US"/>
        </w:rPr>
        <w:t> </w:t>
      </w:r>
      <w:r>
        <w:rPr>
          <w:rFonts w:cs="Times New Roman"/>
          <w:sz w:val="28"/>
          <w:szCs w:val="28"/>
        </w:rPr>
        <w:t>человек. Стало традицией проведение межпоселенческих спартакиад на</w:t>
      </w:r>
      <w:r>
        <w:rPr>
          <w:rFonts w:cs="Times New Roman"/>
          <w:sz w:val="28"/>
          <w:szCs w:val="28"/>
          <w:lang w:val="en-US"/>
        </w:rPr>
        <w:t> </w:t>
      </w:r>
      <w:r>
        <w:rPr>
          <w:rFonts w:cs="Times New Roman"/>
          <w:sz w:val="28"/>
          <w:szCs w:val="28"/>
        </w:rPr>
        <w:t>территориях городского и сельских поселений, спартакиад школьников, легкоатлетических эстафет. Регулярными спортивными мероприятиями Тереньгульского района стали: турнир по футболу «Золотая осень», турнир по</w:t>
      </w:r>
      <w:r>
        <w:rPr>
          <w:rFonts w:cs="Times New Roman"/>
          <w:sz w:val="28"/>
          <w:szCs w:val="28"/>
          <w:lang w:val="en-US"/>
        </w:rPr>
        <w:t> </w:t>
      </w:r>
      <w:r>
        <w:rPr>
          <w:rFonts w:cs="Times New Roman"/>
          <w:sz w:val="28"/>
          <w:szCs w:val="28"/>
        </w:rPr>
        <w:t>мини-футболу памяти воинов, погибших в Афганистане и Чечне, волейбольный турнир. Из средств муниципального бюджета на эти цели ежегодно выделяется от 100,0 до 500,0 тыс. руб.</w:t>
      </w:r>
    </w:p>
    <w:p>
      <w:pPr>
        <w:pStyle w:val="Normal"/>
        <w:widowControl w:val="false"/>
        <w:ind w:firstLine="709"/>
        <w:jc w:val="both"/>
        <w:rPr>
          <w:rFonts w:cs="Times New Roman"/>
          <w:sz w:val="28"/>
          <w:szCs w:val="28"/>
        </w:rPr>
      </w:pPr>
      <w:r>
        <w:rPr>
          <w:rFonts w:cs="Times New Roman"/>
          <w:sz w:val="28"/>
          <w:szCs w:val="28"/>
        </w:rPr>
        <w:t>За счёт бюджетных ассигнований различного уровня, а также спонсорских средств на территории Тереньгульского района проведены ремонтные работы спортивных объектов:</w:t>
      </w:r>
    </w:p>
    <w:p>
      <w:pPr>
        <w:pStyle w:val="Normal"/>
        <w:widowControl w:val="false"/>
        <w:ind w:firstLine="709"/>
        <w:jc w:val="both"/>
        <w:rPr>
          <w:rFonts w:cs="Times New Roman"/>
          <w:sz w:val="28"/>
          <w:szCs w:val="28"/>
        </w:rPr>
      </w:pPr>
      <w:r>
        <w:rPr>
          <w:rFonts w:cs="Times New Roman"/>
          <w:sz w:val="28"/>
          <w:szCs w:val="28"/>
        </w:rPr>
        <w:t>- спортивный зал МОУ Краноборская СОШ;</w:t>
      </w:r>
    </w:p>
    <w:p>
      <w:pPr>
        <w:pStyle w:val="Normal"/>
        <w:widowControl w:val="false"/>
        <w:ind w:firstLine="709"/>
        <w:jc w:val="both"/>
        <w:rPr>
          <w:rFonts w:cs="Times New Roman"/>
          <w:sz w:val="28"/>
          <w:szCs w:val="28"/>
        </w:rPr>
      </w:pPr>
      <w:r>
        <w:rPr>
          <w:rFonts w:cs="Times New Roman"/>
          <w:sz w:val="28"/>
          <w:szCs w:val="28"/>
        </w:rPr>
        <w:t>- спортивный зал МОУ Зеленецкая СОШ;</w:t>
      </w:r>
    </w:p>
    <w:p>
      <w:pPr>
        <w:pStyle w:val="Normal"/>
        <w:widowControl w:val="false"/>
        <w:ind w:firstLine="709"/>
        <w:jc w:val="both"/>
        <w:rPr>
          <w:rFonts w:cs="Times New Roman"/>
          <w:sz w:val="28"/>
          <w:szCs w:val="28"/>
        </w:rPr>
      </w:pPr>
      <w:r>
        <w:rPr>
          <w:rFonts w:cs="Times New Roman"/>
          <w:sz w:val="28"/>
          <w:szCs w:val="28"/>
        </w:rPr>
        <w:t>- спортивный зал МОУ Солдатскоташлинская СОШ;</w:t>
      </w:r>
    </w:p>
    <w:p>
      <w:pPr>
        <w:pStyle w:val="Normal"/>
        <w:widowControl w:val="false"/>
        <w:ind w:firstLine="709"/>
        <w:jc w:val="both"/>
        <w:rPr>
          <w:rFonts w:cs="Times New Roman"/>
          <w:sz w:val="28"/>
          <w:szCs w:val="28"/>
        </w:rPr>
      </w:pPr>
      <w:r>
        <w:rPr>
          <w:rFonts w:cs="Times New Roman"/>
          <w:sz w:val="28"/>
          <w:szCs w:val="28"/>
        </w:rPr>
        <w:t>- МОУ ДО Тереньгульская ДЮСШ имени Г.В. Бакушева.</w:t>
      </w:r>
    </w:p>
    <w:p>
      <w:pPr>
        <w:pStyle w:val="NoSpacing"/>
        <w:widowControl w:val="false"/>
        <w:ind w:firstLine="709"/>
        <w:jc w:val="both"/>
        <w:rPr>
          <w:rFonts w:ascii="Times New Roman" w:hAnsi="Times New Roman"/>
          <w:b/>
          <w:b/>
          <w:sz w:val="28"/>
          <w:szCs w:val="28"/>
        </w:rPr>
      </w:pPr>
      <w:r>
        <w:rPr>
          <w:rFonts w:ascii="Times New Roman" w:hAnsi="Times New Roman"/>
          <w:sz w:val="28"/>
          <w:szCs w:val="28"/>
        </w:rPr>
        <w:t xml:space="preserve">В связи с возросшим числом занимающихся тяжёлой атлетикой </w:t>
      </w:r>
      <w:r>
        <w:rPr>
          <w:rFonts w:ascii="Times New Roman" w:hAnsi="Times New Roman"/>
          <w:b/>
          <w:sz w:val="28"/>
          <w:szCs w:val="28"/>
        </w:rPr>
        <w:t>в</w:t>
      </w:r>
      <w:r>
        <w:rPr>
          <w:rFonts w:ascii="Times New Roman" w:hAnsi="Times New Roman"/>
          <w:b/>
          <w:sz w:val="28"/>
          <w:szCs w:val="28"/>
          <w:lang w:val="en-US"/>
        </w:rPr>
        <w:t> </w:t>
      </w:r>
      <w:r>
        <w:rPr>
          <w:rFonts w:ascii="Times New Roman" w:hAnsi="Times New Roman"/>
          <w:b/>
          <w:sz w:val="28"/>
          <w:szCs w:val="28"/>
        </w:rPr>
        <w:t>Тереньгульском районе с. Солдатская Ташла планируется строительство Центра тяжёлой атлетики площадью 3136 кв.м.</w:t>
      </w:r>
    </w:p>
    <w:p>
      <w:pPr>
        <w:pStyle w:val="ListParagraph"/>
        <w:ind w:left="0" w:firstLine="709"/>
        <w:jc w:val="both"/>
        <w:rPr>
          <w:rFonts w:cs="Times New Roman"/>
          <w:b/>
          <w:b/>
          <w:sz w:val="28"/>
          <w:szCs w:val="28"/>
        </w:rPr>
      </w:pPr>
      <w:r>
        <w:rPr>
          <w:rFonts w:cs="Times New Roman"/>
          <w:b/>
          <w:sz w:val="28"/>
          <w:szCs w:val="28"/>
        </w:rPr>
      </w:r>
    </w:p>
    <w:p>
      <w:pPr>
        <w:pStyle w:val="32"/>
        <w:rPr>
          <w:b w:val="false"/>
          <w:b w:val="false"/>
        </w:rPr>
      </w:pPr>
      <w:bookmarkStart w:id="24" w:name="_Toc2237198"/>
      <w:bookmarkStart w:id="25" w:name="_Toc4404997"/>
      <w:r>
        <w:rPr/>
        <w:t>1.5.7. Молодёжная политика</w:t>
      </w:r>
      <w:bookmarkEnd w:id="24"/>
      <w:bookmarkEnd w:id="25"/>
    </w:p>
    <w:p>
      <w:pPr>
        <w:pStyle w:val="ListParagraph"/>
        <w:ind w:left="0" w:firstLine="709"/>
        <w:jc w:val="both"/>
        <w:rPr>
          <w:rFonts w:cs="Times New Roman"/>
          <w:sz w:val="28"/>
          <w:szCs w:val="28"/>
        </w:rPr>
      </w:pPr>
      <w:r>
        <w:rPr>
          <w:rFonts w:cs="Times New Roman"/>
          <w:sz w:val="28"/>
          <w:szCs w:val="28"/>
        </w:rPr>
        <w:t xml:space="preserve">Численность молодёжи в возрасте 14-30 лет, проживающей </w:t>
        <w:br/>
        <w:t>на</w:t>
      </w:r>
      <w:r>
        <w:rPr>
          <w:rFonts w:cs="Times New Roman"/>
          <w:sz w:val="28"/>
          <w:szCs w:val="28"/>
          <w:lang w:val="en-US"/>
        </w:rPr>
        <w:t> </w:t>
      </w:r>
      <w:r>
        <w:rPr>
          <w:rFonts w:cs="Times New Roman"/>
          <w:sz w:val="28"/>
          <w:szCs w:val="28"/>
        </w:rPr>
        <w:t>территории Тереньгульского района составляет 3089 человек (в 2017 г. – 4021 человек).</w:t>
      </w:r>
    </w:p>
    <w:p>
      <w:pPr>
        <w:pStyle w:val="ListParagraph"/>
        <w:ind w:left="0" w:firstLine="709"/>
        <w:jc w:val="both"/>
        <w:rPr>
          <w:rFonts w:cs="Times New Roman"/>
          <w:b/>
          <w:b/>
          <w:sz w:val="28"/>
          <w:szCs w:val="28"/>
        </w:rPr>
      </w:pPr>
      <w:r>
        <w:rPr>
          <w:rFonts w:cs="Times New Roman"/>
          <w:sz w:val="28"/>
          <w:szCs w:val="28"/>
        </w:rPr>
        <w:t xml:space="preserve">Число молодёжных общественных организаций объединений – 3. Численность молодёжи, вовлечённой в работу молодёжных общественных организаций и объединений – 35 человек (1%). Количество культурно-досуговых мероприятий с вовлечением молодёжи – 193 (7% от общего числа культурно-досуговых мероприятий, проводимых на территории района), 70% мероприятий проводится для возрастной категории 14-18 лет. По линии службы занятости для данной категории граждан в свободное от учёбы время организуется трудоустройство. Ребята в рамках трудового воспитания могут попробовать свои силы в той или иной сфере деятельности, заработать первые деньги. Тем не менее, </w:t>
      </w:r>
      <w:r>
        <w:rPr>
          <w:rFonts w:cs="Times New Roman"/>
          <w:b/>
          <w:sz w:val="28"/>
          <w:szCs w:val="28"/>
        </w:rPr>
        <w:t>количество временно занятых школьников также сокращается год от года. По сравнению с 2008 г. (197 человек), число участников программы в 2018 г. (71 человек) сократилось в 2,8 раза.</w:t>
      </w:r>
    </w:p>
    <w:p>
      <w:pPr>
        <w:pStyle w:val="ListParagraph"/>
        <w:ind w:left="0" w:firstLine="709"/>
        <w:jc w:val="center"/>
        <w:rPr>
          <w:rFonts w:cs="Times New Roman"/>
          <w:sz w:val="28"/>
          <w:szCs w:val="28"/>
        </w:rPr>
      </w:pPr>
      <w:r>
        <w:rPr>
          <w:rFonts w:cs="Times New Roman"/>
          <w:sz w:val="28"/>
          <w:szCs w:val="28"/>
        </w:rPr>
      </w:r>
    </w:p>
    <w:p>
      <w:pPr>
        <w:pStyle w:val="ListParagraph"/>
        <w:keepNext w:val="true"/>
        <w:ind w:left="0" w:hanging="0"/>
        <w:jc w:val="center"/>
        <w:rPr/>
      </w:pPr>
      <w:r>
        <w:rPr/>
        <w:drawing>
          <wp:inline distT="0" distB="0" distL="0" distR="0">
            <wp:extent cx="5830570" cy="2743200"/>
            <wp:effectExtent l="0" t="0" r="0" b="0"/>
            <wp:docPr id="2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20</w:t>
      </w:r>
      <w:r>
        <w:rPr>
          <w:sz w:val="28"/>
          <w:szCs w:val="28"/>
        </w:rPr>
        <w:fldChar w:fldCharType="end"/>
      </w:r>
      <w:r>
        <w:rPr>
          <w:color w:val="auto"/>
          <w:sz w:val="28"/>
          <w:szCs w:val="28"/>
        </w:rPr>
        <w:t xml:space="preserve"> - Численность несовершеннолетних граждан, трудоустроенных в свободное время, в Тереньгульском районе за 2008-2018 гг., чел.</w:t>
      </w:r>
    </w:p>
    <w:p>
      <w:pPr>
        <w:pStyle w:val="Normal"/>
        <w:rPr/>
      </w:pPr>
      <w:r>
        <w:rPr/>
      </w:r>
    </w:p>
    <w:p>
      <w:pPr>
        <w:pStyle w:val="ListParagraph"/>
        <w:ind w:left="0" w:firstLine="709"/>
        <w:jc w:val="both"/>
        <w:rPr>
          <w:rFonts w:cs="Times New Roman"/>
          <w:sz w:val="28"/>
          <w:szCs w:val="28"/>
        </w:rPr>
      </w:pPr>
      <w:r>
        <w:rPr>
          <w:rFonts w:cs="Times New Roman"/>
          <w:sz w:val="28"/>
          <w:szCs w:val="28"/>
        </w:rPr>
        <w:t xml:space="preserve">Работу по профилактике негативных проявлений в молодёжной среде отдел по работе с молодёжью организует в тесном взаимодействии </w:t>
        <w:br/>
        <w:t>с муниципальными комиссиями по делам несовершеннолетних и защите их прав.</w:t>
      </w:r>
    </w:p>
    <w:p>
      <w:pPr>
        <w:pStyle w:val="ListParagraph"/>
        <w:ind w:left="0" w:firstLine="709"/>
        <w:jc w:val="both"/>
        <w:rPr>
          <w:rFonts w:cs="Times New Roman"/>
          <w:sz w:val="28"/>
          <w:szCs w:val="28"/>
        </w:rPr>
      </w:pPr>
      <w:r>
        <w:rPr>
          <w:rFonts w:cs="Times New Roman"/>
          <w:b/>
          <w:sz w:val="28"/>
          <w:szCs w:val="28"/>
        </w:rPr>
        <w:t>Категория 19-30 лет (выпускники вузов, ссузов, работающая молодёжь) остаётся не охваченной.</w:t>
      </w:r>
      <w:r>
        <w:rPr>
          <w:rFonts w:cs="Times New Roman"/>
          <w:sz w:val="28"/>
          <w:szCs w:val="28"/>
        </w:rPr>
        <w:t xml:space="preserve"> На начало 2018 г. в районе насчитывается 168 человек работающей молодёжи (молодых специалистов). Только 26% выпускников профессиональных образовательных организаций и образовательных организаций высшего образования трудоустраиваются </w:t>
        <w:br/>
        <w:t xml:space="preserve">на территории МО «Тереньгульский район». </w:t>
      </w:r>
      <w:r>
        <w:rPr>
          <w:rFonts w:cs="Times New Roman"/>
          <w:b/>
          <w:sz w:val="28"/>
          <w:szCs w:val="28"/>
        </w:rPr>
        <w:t xml:space="preserve">Существующие условия не </w:t>
        <w:br/>
        <w:t xml:space="preserve">в полной мере позволяют молодым людям реализовать свой потенциал </w:t>
        <w:br/>
        <w:t>на территории района. Как следствие – миграционный отток молодёжи.</w:t>
      </w:r>
    </w:p>
    <w:p>
      <w:pPr>
        <w:pStyle w:val="Style81"/>
        <w:spacing w:lineRule="auto" w:line="240"/>
        <w:ind w:firstLine="709"/>
        <w:jc w:val="both"/>
        <w:rPr>
          <w:rFonts w:eastAsia="Calibri" w:eastAsiaTheme="minorHAnsi"/>
          <w:sz w:val="28"/>
          <w:szCs w:val="28"/>
          <w:lang w:eastAsia="en-US"/>
        </w:rPr>
      </w:pPr>
      <w:r>
        <w:rPr>
          <w:rFonts w:eastAsia="Calibri" w:eastAsiaTheme="minorHAnsi"/>
          <w:sz w:val="28"/>
          <w:szCs w:val="28"/>
          <w:lang w:eastAsia="en-US"/>
        </w:rPr>
      </w:r>
    </w:p>
    <w:p>
      <w:pPr>
        <w:pStyle w:val="32"/>
        <w:rPr/>
      </w:pPr>
      <w:bookmarkStart w:id="26" w:name="_Toc2237199"/>
      <w:bookmarkStart w:id="27" w:name="_Toc4404998"/>
      <w:r>
        <w:rPr/>
        <w:t>1.5.8. Туризм</w:t>
      </w:r>
      <w:bookmarkEnd w:id="26"/>
      <w:bookmarkEnd w:id="27"/>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 xml:space="preserve">На территории Тереньгульского района имеются все предпосылки </w:t>
        <w:br/>
        <w:t>для развития сферы туризма в качестве одного из приоритетных направлений экономики. В муниципалитете реализуется муниципальная программа «Развитие туризма на территории муниципального образования «Тереньгульский район» на 2018-2020 гг.», рассчитанная на создание на территории муниципалитета конкурентоспособного туристско-рекреационного комплекса на основе эффективного использования туристического потенциала района и имеющихся ресурсов, сохранение природного и культурно-исторического наследия.</w:t>
      </w:r>
    </w:p>
    <w:p>
      <w:pPr>
        <w:pStyle w:val="Formattext"/>
        <w:shd w:val="clear" w:color="auto" w:fill="FFFFFF"/>
        <w:spacing w:beforeAutospacing="0" w:before="0" w:afterAutospacing="0" w:after="0"/>
        <w:ind w:firstLine="709"/>
        <w:jc w:val="both"/>
        <w:textAlignment w:val="baseline"/>
        <w:rPr>
          <w:spacing w:val="2"/>
          <w:sz w:val="28"/>
          <w:szCs w:val="28"/>
        </w:rPr>
      </w:pPr>
      <w:r>
        <w:rPr>
          <w:b/>
          <w:spacing w:val="2"/>
          <w:sz w:val="28"/>
          <w:szCs w:val="28"/>
        </w:rPr>
        <w:t>Программой предусматривается рост туристического потока на</w:t>
      </w:r>
      <w:r>
        <w:rPr>
          <w:lang w:val="en-US"/>
        </w:rPr>
        <w:t> </w:t>
      </w:r>
      <w:r>
        <w:rPr>
          <w:b/>
          <w:spacing w:val="2"/>
          <w:sz w:val="28"/>
          <w:szCs w:val="28"/>
        </w:rPr>
        <w:t>территорию муниципального образования путём создания и апробации новых туристических маршрутов.</w:t>
      </w:r>
      <w:r>
        <w:rPr>
          <w:spacing w:val="2"/>
          <w:sz w:val="28"/>
          <w:szCs w:val="28"/>
        </w:rPr>
        <w:t xml:space="preserve"> В бюджете Тереньгульского района на</w:t>
      </w:r>
      <w:r>
        <w:rPr>
          <w:spacing w:val="2"/>
          <w:sz w:val="28"/>
          <w:szCs w:val="28"/>
          <w:lang w:val="en-US"/>
        </w:rPr>
        <w:t> </w:t>
      </w:r>
      <w:r>
        <w:rPr>
          <w:spacing w:val="2"/>
          <w:sz w:val="28"/>
          <w:szCs w:val="28"/>
        </w:rPr>
        <w:t>осуществление мероприятий программы выделено 221 тыс. руб., в том числе 2018 г. – 15 тыс. руб., 2019 г. – 145 тыс. руб., 2020 г. – 61 тыс. руб.</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 xml:space="preserve">Основным фактором, позволяющим обеспечить развитие отрасли туризма на территории Тереньгульского района, является наличие уникального комплекса культурно-исторических и природных достопримечательностей. </w:t>
        <w:br/>
      </w:r>
      <w:r>
        <w:rPr>
          <w:b/>
          <w:spacing w:val="2"/>
          <w:sz w:val="28"/>
          <w:szCs w:val="28"/>
        </w:rPr>
        <w:t>В настоящее время на территории данного муниципального образования расположено 6 ключевых туристических объектов, пользующихся популярностью</w:t>
      </w:r>
      <w:r>
        <w:rPr>
          <w:spacing w:val="2"/>
          <w:sz w:val="28"/>
          <w:szCs w:val="28"/>
        </w:rPr>
        <w:t>, как у жителей, так и у гостей Ульяновской области:</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Памятник природы (с 1987 г.) «Скрипинские Кучуры» (в 5 км от</w:t>
      </w:r>
      <w:r>
        <w:rPr>
          <w:spacing w:val="2"/>
          <w:sz w:val="28"/>
          <w:szCs w:val="28"/>
          <w:lang w:val="en-US"/>
        </w:rPr>
        <w:t> </w:t>
      </w:r>
      <w:r>
        <w:rPr>
          <w:spacing w:val="2"/>
          <w:sz w:val="28"/>
          <w:szCs w:val="28"/>
        </w:rPr>
        <w:t>с.</w:t>
      </w:r>
      <w:r>
        <w:rPr>
          <w:spacing w:val="2"/>
          <w:sz w:val="28"/>
          <w:szCs w:val="28"/>
          <w:lang w:val="en-US"/>
        </w:rPr>
        <w:t> </w:t>
      </w:r>
      <w:r>
        <w:rPr>
          <w:spacing w:val="2"/>
          <w:sz w:val="28"/>
          <w:szCs w:val="28"/>
        </w:rPr>
        <w:t>Михайловка) – территория, покрытая камнями, образующими причудливые фигуры, очень похожие на скульптуры.</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Родник «Бездонный колодец» (</w:t>
      </w:r>
      <w:r>
        <w:rPr>
          <w:rFonts w:eastAsia="Calibri"/>
          <w:sz w:val="28"/>
          <w:szCs w:val="28"/>
          <w:shd w:fill="FFFFFF" w:val="clear"/>
          <w:lang w:eastAsia="en-US"/>
        </w:rPr>
        <w:t>2,75 км северо-восточнее с.</w:t>
      </w:r>
      <w:r>
        <w:rPr>
          <w:rFonts w:eastAsia="Calibri"/>
          <w:sz w:val="28"/>
          <w:szCs w:val="28"/>
          <w:shd w:fill="FFFFFF" w:val="clear"/>
          <w:lang w:val="en-US" w:eastAsia="en-US"/>
        </w:rPr>
        <w:t> </w:t>
      </w:r>
      <w:r>
        <w:rPr>
          <w:rFonts w:eastAsia="Calibri"/>
          <w:sz w:val="28"/>
          <w:szCs w:val="28"/>
          <w:shd w:fill="FFFFFF" w:val="clear"/>
          <w:lang w:eastAsia="en-US"/>
        </w:rPr>
        <w:t>Федькино</w:t>
      </w:r>
      <w:r>
        <w:rPr>
          <w:spacing w:val="2"/>
          <w:sz w:val="28"/>
          <w:szCs w:val="28"/>
        </w:rPr>
        <w:t>) – источник с целебной водой, содержащей ионы серебра.</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Усадьба Е.М. Перси-Френч с прилегающим парком (р.п. Тереньга) – дворянский особняк с ландшафтно-парковой зоной (</w:t>
      </w:r>
      <w:r>
        <w:rPr>
          <w:spacing w:val="2"/>
          <w:sz w:val="28"/>
          <w:szCs w:val="28"/>
          <w:lang w:val="en-US"/>
        </w:rPr>
        <w:t>XVIII</w:t>
      </w:r>
      <w:r>
        <w:rPr>
          <w:spacing w:val="2"/>
          <w:sz w:val="28"/>
          <w:szCs w:val="28"/>
        </w:rPr>
        <w:t xml:space="preserve"> – начало </w:t>
      </w:r>
      <w:r>
        <w:rPr>
          <w:spacing w:val="2"/>
          <w:sz w:val="28"/>
          <w:szCs w:val="28"/>
          <w:lang w:val="en-US"/>
        </w:rPr>
        <w:t>XX</w:t>
      </w:r>
      <w:r>
        <w:rPr>
          <w:spacing w:val="2"/>
          <w:sz w:val="28"/>
          <w:szCs w:val="28"/>
        </w:rPr>
        <w:t xml:space="preserve"> века);</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 xml:space="preserve">Храм Живоначальной Троицы (с. Молвино) – одно из красивейших культовых зданий региона, выполненное в русско-византийском стиле (нач. </w:t>
      </w:r>
      <w:r>
        <w:rPr>
          <w:spacing w:val="2"/>
          <w:sz w:val="28"/>
          <w:szCs w:val="28"/>
          <w:lang w:val="en-US"/>
        </w:rPr>
        <w:t>XX</w:t>
      </w:r>
      <w:r>
        <w:rPr>
          <w:spacing w:val="2"/>
          <w:sz w:val="28"/>
          <w:szCs w:val="28"/>
        </w:rPr>
        <w:t xml:space="preserve"> века);</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Святой источник в честь Владимирской иконы Божией матери (с.</w:t>
      </w:r>
      <w:r>
        <w:rPr>
          <w:spacing w:val="2"/>
          <w:sz w:val="28"/>
          <w:szCs w:val="28"/>
          <w:lang w:val="en-US"/>
        </w:rPr>
        <w:t> </w:t>
      </w:r>
      <w:r>
        <w:rPr>
          <w:spacing w:val="2"/>
          <w:sz w:val="28"/>
          <w:szCs w:val="28"/>
        </w:rPr>
        <w:t>Ясашная Ташла) – родник с облагороженной территорией, традиционно почитаемый верующими Православной конфессии;</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Курганы «Камушки» (с.</w:t>
      </w:r>
      <w:r>
        <w:rPr>
          <w:spacing w:val="2"/>
          <w:sz w:val="28"/>
          <w:szCs w:val="28"/>
          <w:lang w:val="en-US"/>
        </w:rPr>
        <w:t> </w:t>
      </w:r>
      <w:r>
        <w:rPr>
          <w:spacing w:val="2"/>
          <w:sz w:val="28"/>
          <w:szCs w:val="28"/>
        </w:rPr>
        <w:t>Гавриловка) – гряда высоких каменных холмов.</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рамках организации туристической деятельности администрацией муниципалитета на территории Тереньгульского район с 2014 г. действует туристический маршрут «Под сенью веков», предусматривающий движение организованных групп туристов и индивидуальных путешественников по маршруту «Усадьба Е.М. Перси-Френч – источник «Бездонный колодец» – памятник природы «Скрипинские Кучуры», протяжённостью 45 км. Все объекты маршрута расположены недалеко от трассы «Ульяновск-Сызрань», что позволяет, благодаря удовлетворительной транспортной доступности, посетить все три объекта за один световой день.</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С 2016 г. организацией централизованных выездов на туристические объекты, расположенные на территории Тереньгульского района, занимается в</w:t>
      </w:r>
      <w:r>
        <w:rPr>
          <w:spacing w:val="2"/>
          <w:sz w:val="28"/>
          <w:szCs w:val="28"/>
          <w:lang w:val="en-US"/>
        </w:rPr>
        <w:t> </w:t>
      </w:r>
      <w:r>
        <w:rPr>
          <w:spacing w:val="2"/>
          <w:sz w:val="28"/>
          <w:szCs w:val="28"/>
        </w:rPr>
        <w:t>качестве оператора «Бюро путешествий Дмитрия Илюшина», разработавшее маршруты выходного дня: «Сказка среди цветов и камней», «Колдовское место», «Дворянские усадьбы и не только».</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Информация о достопримечательностях и маршрутах Тереньгульского района распространена в информационно-телекоммуникационной сети «Интернет», именно поэтому наиболее распространенным видом туризма на территории муниципалитета является неорганизованный («дикий») туризм.</w:t>
      </w:r>
    </w:p>
    <w:p>
      <w:pPr>
        <w:pStyle w:val="Formattext"/>
        <w:shd w:val="clear" w:color="auto" w:fill="FFFFFF"/>
        <w:spacing w:beforeAutospacing="0" w:before="0" w:afterAutospacing="0" w:after="0"/>
        <w:ind w:firstLine="709"/>
        <w:jc w:val="both"/>
        <w:textAlignment w:val="baseline"/>
        <w:rPr>
          <w:b/>
          <w:b/>
          <w:spacing w:val="2"/>
          <w:sz w:val="28"/>
          <w:szCs w:val="28"/>
        </w:rPr>
      </w:pPr>
      <w:r>
        <w:rPr>
          <w:b/>
          <w:spacing w:val="2"/>
          <w:sz w:val="28"/>
          <w:szCs w:val="28"/>
        </w:rPr>
        <w:t>Препятствуют развитию организованного туризма на территории Тереньгульского района слабо развитая туристическая инфраструктура и недостаточное количество подготовленных кадров экскурсоводов.</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2018 г. на территории Тереньгульского район в сфере организации экскурсионного обслуживания было задействовано всего 2 человека на</w:t>
      </w:r>
      <w:r>
        <w:rPr>
          <w:spacing w:val="2"/>
          <w:sz w:val="28"/>
          <w:szCs w:val="28"/>
          <w:lang w:val="en-US"/>
        </w:rPr>
        <w:t> </w:t>
      </w:r>
      <w:r>
        <w:rPr>
          <w:spacing w:val="2"/>
          <w:sz w:val="28"/>
          <w:szCs w:val="28"/>
        </w:rPr>
        <w:t>постоянной основе, что крайне недостаточно для полноценного оказания спектра туристско-экскурсионных услуг.</w:t>
      </w:r>
    </w:p>
    <w:p>
      <w:pPr>
        <w:pStyle w:val="Formattext"/>
        <w:shd w:val="clear" w:color="auto" w:fill="FFFFFF"/>
        <w:spacing w:beforeAutospacing="0" w:before="0" w:afterAutospacing="0" w:after="0"/>
        <w:ind w:firstLine="709"/>
        <w:jc w:val="both"/>
        <w:textAlignment w:val="baseline"/>
        <w:rPr>
          <w:spacing w:val="2"/>
          <w:sz w:val="28"/>
          <w:szCs w:val="28"/>
        </w:rPr>
      </w:pPr>
      <w:r>
        <w:rPr>
          <w:b/>
          <w:spacing w:val="2"/>
          <w:sz w:val="28"/>
          <w:szCs w:val="28"/>
        </w:rPr>
        <w:t>В муниципалитете отсутствуют сертифицированные гостиницы и аналогичные средства размещения: мотели, пансионаты, общежития для</w:t>
      </w:r>
      <w:r>
        <w:rPr>
          <w:b/>
          <w:spacing w:val="2"/>
          <w:sz w:val="28"/>
          <w:szCs w:val="28"/>
          <w:lang w:val="en-US"/>
        </w:rPr>
        <w:t> </w:t>
      </w:r>
      <w:r>
        <w:rPr>
          <w:b/>
          <w:spacing w:val="2"/>
          <w:sz w:val="28"/>
          <w:szCs w:val="28"/>
        </w:rPr>
        <w:t>приезжих, другие организации гостиничного типа.</w:t>
      </w:r>
      <w:r>
        <w:rPr>
          <w:spacing w:val="2"/>
          <w:sz w:val="28"/>
          <w:szCs w:val="28"/>
        </w:rPr>
        <w:t xml:space="preserve"> Имеется лишь несколько объектов придорожного сервиса с минимальным количеством номеров для размещения (кафе «Привал» с. Солдатская Ташла – 8 койко-мест, кафе «Уют» с. Подкуровка – 4 койко-места).</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 xml:space="preserve">Сфера общественного питания, в отличие от гостиничного сервиса, имеет тенденцию к развитию (рисунок 21). </w:t>
      </w:r>
    </w:p>
    <w:p>
      <w:pPr>
        <w:pStyle w:val="Formattext"/>
        <w:shd w:val="clear" w:color="auto" w:fill="FFFFFF"/>
        <w:spacing w:beforeAutospacing="0" w:before="0" w:afterAutospacing="0" w:after="0"/>
        <w:jc w:val="both"/>
        <w:textAlignment w:val="baseline"/>
        <w:rPr>
          <w:lang w:val="en-US"/>
        </w:rPr>
      </w:pPr>
      <w:r>
        <w:rPr>
          <w:lang w:val="en-US"/>
        </w:rPr>
      </w:r>
    </w:p>
    <w:p>
      <w:pPr>
        <w:pStyle w:val="Formattext"/>
        <w:shd w:val="clear" w:color="auto" w:fill="FFFFFF"/>
        <w:spacing w:beforeAutospacing="0" w:before="0" w:afterAutospacing="0" w:after="0"/>
        <w:jc w:val="both"/>
        <w:textAlignment w:val="baseline"/>
        <w:rPr>
          <w:spacing w:val="2"/>
          <w:sz w:val="28"/>
          <w:szCs w:val="28"/>
          <w:lang w:val="en-US"/>
        </w:rPr>
      </w:pPr>
      <w:r>
        <w:rPr/>
        <w:drawing>
          <wp:inline distT="0" distB="0" distL="0" distR="0">
            <wp:extent cx="6124575" cy="2913380"/>
            <wp:effectExtent l="0" t="0" r="0" b="0"/>
            <wp:docPr id="2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Normal"/>
        <w:jc w:val="center"/>
        <w:rPr>
          <w:rFonts w:cs="Times New Roman"/>
          <w:b/>
          <w:b/>
          <w:sz w:val="28"/>
          <w:szCs w:val="28"/>
        </w:rPr>
      </w:pPr>
      <w:r>
        <w:rPr>
          <w:b/>
          <w:sz w:val="28"/>
          <w:szCs w:val="28"/>
        </w:rPr>
        <w:t xml:space="preserve">Рисунок </w:t>
      </w:r>
      <w:r>
        <w:rPr>
          <w:b/>
          <w:sz w:val="28"/>
          <w:szCs w:val="28"/>
        </w:rPr>
        <w:fldChar w:fldCharType="begin"/>
      </w:r>
      <w:r>
        <w:rPr>
          <w:sz w:val="28"/>
          <w:b/>
          <w:szCs w:val="28"/>
        </w:rPr>
        <w:instrText> SEQ Рисунок \* ARABIC </w:instrText>
      </w:r>
      <w:r>
        <w:rPr>
          <w:sz w:val="28"/>
          <w:b/>
          <w:szCs w:val="28"/>
        </w:rPr>
        <w:fldChar w:fldCharType="separate"/>
      </w:r>
      <w:r>
        <w:rPr>
          <w:sz w:val="28"/>
          <w:b/>
          <w:szCs w:val="28"/>
        </w:rPr>
        <w:t>21</w:t>
      </w:r>
      <w:r>
        <w:rPr>
          <w:sz w:val="28"/>
          <w:b/>
          <w:szCs w:val="28"/>
        </w:rPr>
        <w:fldChar w:fldCharType="end"/>
      </w:r>
      <w:r>
        <w:rPr>
          <w:b/>
          <w:sz w:val="28"/>
          <w:szCs w:val="28"/>
        </w:rPr>
        <w:t xml:space="preserve"> - </w:t>
      </w:r>
      <w:r>
        <w:rPr>
          <w:rFonts w:cs="Times New Roman"/>
          <w:b/>
          <w:sz w:val="28"/>
          <w:szCs w:val="28"/>
        </w:rPr>
        <w:t xml:space="preserve">Динамика показателей общественного питания </w:t>
      </w:r>
    </w:p>
    <w:p>
      <w:pPr>
        <w:pStyle w:val="Normal"/>
        <w:jc w:val="center"/>
        <w:rPr>
          <w:rFonts w:cs="Times New Roman"/>
          <w:b/>
          <w:b/>
          <w:sz w:val="28"/>
          <w:szCs w:val="28"/>
        </w:rPr>
      </w:pPr>
      <w:r>
        <w:rPr>
          <w:rFonts w:cs="Times New Roman"/>
          <w:b/>
          <w:sz w:val="28"/>
          <w:szCs w:val="28"/>
        </w:rPr>
        <w:t>в Тереньгульском районе за 2011-2017 гг.</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 xml:space="preserve">Отмечается увеличение количества ресторанов, кафе, баров и посадочных мест в них. Однако денежный оборот районной сферы общественного питания не имеет четко выраженной тенденции к росту и подвержен серьёзным колебаниям по объёму выручки. </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Культурно-досуговая сфера в Тереньгульском районе представлена районным краеведческим музеем, экспозиция которого состоит из 843 единиц хранения. В 2018 г. его посетили 328 туристов.</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Также на территории муниципального района действуют 83 коллектива художественной самодеятельности, из числа которых 6 носят звание «Народный».</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На территории усадебного комплекса Е.М. Перси-Френч с 2010 г. проводится ежегодный межрегиональный фестиваль гармонистов, баянистов, аккордеонистов им. А.Ф. Данилова «Тереньгульские переливы», собирающий исполнителей и гостей праздника со всей России. В рамках мероприятия традиционно организуются тематические выставки, мастер-классы, выставки-продажи изделий народного творчества.</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Активное развитие направления художественной самодеятельности на</w:t>
      </w:r>
      <w:r>
        <w:rPr>
          <w:spacing w:val="2"/>
          <w:sz w:val="28"/>
          <w:szCs w:val="28"/>
          <w:lang w:val="en-US"/>
        </w:rPr>
        <w:t> </w:t>
      </w:r>
      <w:r>
        <w:rPr>
          <w:spacing w:val="2"/>
          <w:sz w:val="28"/>
          <w:szCs w:val="28"/>
        </w:rPr>
        <w:t>территории муниципального образования даёт возможность развивать событийный туризм в муниципалитете как один из приоритетов развития туристической отрасли экономики.</w:t>
      </w:r>
    </w:p>
    <w:p>
      <w:pPr>
        <w:pStyle w:val="Formattext"/>
        <w:shd w:val="clear" w:color="auto" w:fill="FFFFFF"/>
        <w:spacing w:beforeAutospacing="0" w:before="0" w:afterAutospacing="0" w:after="0"/>
        <w:ind w:firstLine="709"/>
        <w:jc w:val="both"/>
        <w:textAlignment w:val="baseline"/>
        <w:rPr>
          <w:b/>
          <w:b/>
          <w:spacing w:val="2"/>
          <w:sz w:val="28"/>
          <w:szCs w:val="28"/>
        </w:rPr>
      </w:pPr>
      <w:r>
        <w:rPr>
          <w:b/>
          <w:spacing w:val="2"/>
          <w:sz w:val="28"/>
          <w:szCs w:val="28"/>
        </w:rPr>
        <w:t>Одной из ключевых проблем, препятствующих развитию туристической отрасли в Тереньгульском районе, является малая информированность потенциальных туристов о достопримечательностях и маршрутах муниципалитета, а также отсутствие индустрии изготовления сувенирной продукции.</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настоящее время на территории муниципального образования нет ни одной постоянно функционирующей сувенирной лавочки, хотя имеется значительный потенциал для развития данного направления туризма. В муниципалитете активно развит кустарный промысел по плетению и другим видам изготовления уникальных и необычных вещей из различных материалов.</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плане информационного освещения и рекламы туристического потенциала муниципального района имеются существенные недостатки: практически повсеместно отсутствуют дорожные указатели на важные туристические объекты и информационные щиты при въезде в населённые пункты района и на федеральных трассах, проходящих по территории муниципального образования.</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информационно-телекоммуникационной сети «Интернет» у муниципалитета отсутствует специальный ресурс, рассказывающий о туристических достопримечательностях и действующих маршрутах. Информация о предстоящих экскурсиях лишь эпизодически размещается в группах муниципального образования в социальных сетях «Одноклассники» и «ВКонтакте», публикуется в газете «Тереньгульские вести». На официальном сайте администрации Тереньгульского района отсутствует отдельная, видимая в главном меню вкладка, посвящённая отрасли туризма. Из-за этого, потенциальному гостю муниципалитета практически невозможно получить необходимую информацию.</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качестве приоритетов по развитию отрасли туризма в рамках муниципальной программы «Развитие туризма на территории муниципального образования «Тереньгульский район» на 2018-2020 гг.» администрацией МО «Тереньгульский район» в ближайшей перспективе предусматривается реализация следующих целей:</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создание и продвижение новых туристических маршрутов на территории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создание системы информирования туристов для обеспечения удобства пребывания и навигации на территории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продвижение туристического потенциала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развитие событийного туризма на территории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благоустройство мест массового отдыха на территории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оказание содействия предпринимателям малого и среднего бизнеса в сфере туризма на территории района.</w:t>
      </w:r>
    </w:p>
    <w:p>
      <w:pPr>
        <w:pStyle w:val="Formattext"/>
        <w:shd w:val="clear" w:color="auto" w:fill="FFFFFF"/>
        <w:spacing w:beforeAutospacing="0" w:before="0" w:afterAutospacing="0" w:after="0"/>
        <w:jc w:val="both"/>
        <w:textAlignment w:val="baseline"/>
        <w:rPr>
          <w:spacing w:val="2"/>
          <w:sz w:val="28"/>
          <w:szCs w:val="28"/>
        </w:rPr>
      </w:pPr>
      <w:r>
        <w:rPr>
          <w:spacing w:val="2"/>
          <w:sz w:val="28"/>
          <w:szCs w:val="28"/>
        </w:rPr>
      </w:r>
    </w:p>
    <w:p>
      <w:pPr>
        <w:pStyle w:val="32"/>
        <w:rPr/>
      </w:pPr>
      <w:bookmarkStart w:id="28" w:name="_Toc2237200"/>
      <w:bookmarkStart w:id="29" w:name="_Toc4404999"/>
      <w:r>
        <w:rPr/>
        <w:t>1.5.9. Жилищный фонд</w:t>
      </w:r>
      <w:bookmarkEnd w:id="28"/>
      <w:bookmarkEnd w:id="29"/>
    </w:p>
    <w:p>
      <w:pPr>
        <w:pStyle w:val="Normal"/>
        <w:widowControl w:val="false"/>
        <w:ind w:firstLine="709"/>
        <w:jc w:val="both"/>
        <w:rPr>
          <w:rFonts w:cs="Times New Roman"/>
          <w:sz w:val="28"/>
          <w:szCs w:val="28"/>
        </w:rPr>
      </w:pPr>
      <w:r>
        <w:rPr>
          <w:rFonts w:cs="Times New Roman"/>
          <w:sz w:val="28"/>
          <w:szCs w:val="28"/>
        </w:rPr>
        <w:t xml:space="preserve">По состоянию на 01.01.2018 г. общая площадь жилищного фонда Тереньгульского района составила 496,1 тыс. кв.м, что по сравнению с 2008 г. увеличилась на 9%. Основная доля жилищного фонда является частной собственностью граждан – 90,5%. Государственный и муниципальный жилищные фонды составляют соответственно – 2,2% и 7,2%. </w:t>
      </w:r>
    </w:p>
    <w:p>
      <w:pPr>
        <w:pStyle w:val="Normal"/>
        <w:widowControl w:val="false"/>
        <w:ind w:firstLine="709"/>
        <w:jc w:val="both"/>
        <w:rPr>
          <w:rFonts w:cs="Times New Roman"/>
          <w:sz w:val="28"/>
          <w:szCs w:val="28"/>
        </w:rPr>
      </w:pPr>
      <w:r>
        <w:rPr>
          <w:rFonts w:cs="Times New Roman"/>
          <w:sz w:val="28"/>
          <w:szCs w:val="28"/>
        </w:rPr>
        <w:t xml:space="preserve">Анализ показателей, характеризующих жилищное строительство, показывает, что на протяжении последних 10 лет наблюдается стабильный рост ввода жилья в районе. По итогам 2017 г. введено в эксплуатацию максимальное значение для Тереньгульского района – 14,7 тыс. кв. м общей площади, в том числе в сельской местности – 12,9 тыс. кв.м (рост на 6,2% к уровню 2016 г.). Следует отметить, что весь объём введенного жилья построен за счёт индивидуальных застройщиков. </w:t>
      </w:r>
    </w:p>
    <w:p>
      <w:pPr>
        <w:pStyle w:val="Normal"/>
        <w:ind w:firstLine="709"/>
        <w:jc w:val="both"/>
        <w:rPr>
          <w:rFonts w:cs="Times New Roman"/>
          <w:spacing w:val="-2"/>
          <w:sz w:val="28"/>
          <w:szCs w:val="28"/>
        </w:rPr>
      </w:pPr>
      <w:r>
        <w:rPr>
          <w:rFonts w:cs="Times New Roman"/>
          <w:spacing w:val="-2"/>
          <w:sz w:val="28"/>
          <w:szCs w:val="28"/>
        </w:rPr>
        <w:t>Высокие результаты позволили району обеспечить выполнение директивного плана ввода жилья за текущий период. Также перевыполнен план по объёму введённого жилья экономкласса, установленный для Тереньгульского района в размере 7,99 тыс. кв.м, который составил 12,7 тыс. кв.м.</w:t>
      </w:r>
    </w:p>
    <w:p>
      <w:pPr>
        <w:pStyle w:val="Normal"/>
        <w:widowControl w:val="false"/>
        <w:ind w:firstLine="709"/>
        <w:jc w:val="both"/>
        <w:rPr>
          <w:rFonts w:cs="Times New Roman"/>
          <w:sz w:val="28"/>
          <w:szCs w:val="28"/>
        </w:rPr>
      </w:pPr>
      <w:r>
        <w:rPr>
          <w:rFonts w:cs="Times New Roman"/>
          <w:sz w:val="28"/>
          <w:szCs w:val="28"/>
        </w:rPr>
        <w:t xml:space="preserve">Таким образом, за 10 лет объёмы жилищного строительства Тереньгульского района выросли в 5 раз. </w:t>
      </w:r>
    </w:p>
    <w:p>
      <w:pPr>
        <w:pStyle w:val="Normal"/>
        <w:ind w:firstLine="709"/>
        <w:jc w:val="both"/>
        <w:rPr>
          <w:rFonts w:cs="Times New Roman"/>
          <w:spacing w:val="-4"/>
          <w:sz w:val="28"/>
          <w:szCs w:val="28"/>
        </w:rPr>
      </w:pPr>
      <w:r>
        <w:rPr>
          <w:rFonts w:cs="Times New Roman"/>
          <w:spacing w:val="-4"/>
          <w:sz w:val="28"/>
          <w:szCs w:val="28"/>
        </w:rPr>
        <w:t>Также в 2017 г. отмечены высокие результаты по вводу в действие жилых домов в расчёте на 1000 населения – 844,8 кв.м. общей площади (что на 61,4 кв.м превышает показатель, сложившийся в среднем по Ульяновской области). По</w:t>
      </w:r>
      <w:r>
        <w:rPr>
          <w:rFonts w:cs="Times New Roman"/>
          <w:spacing w:val="-4"/>
          <w:sz w:val="28"/>
          <w:szCs w:val="28"/>
          <w:lang w:val="en-US"/>
        </w:rPr>
        <w:t> </w:t>
      </w:r>
      <w:r>
        <w:rPr>
          <w:rFonts w:cs="Times New Roman"/>
          <w:spacing w:val="-4"/>
          <w:sz w:val="28"/>
          <w:szCs w:val="28"/>
        </w:rPr>
        <w:t>данному показателю Тереньгульский район считается одним из лидеров среди муниципальных районов Ульяновской области в отчётном периоде.</w:t>
      </w:r>
    </w:p>
    <w:p>
      <w:pPr>
        <w:pStyle w:val="Normal"/>
        <w:ind w:firstLine="709"/>
        <w:jc w:val="both"/>
        <w:rPr>
          <w:rFonts w:cs="Times New Roman"/>
          <w:sz w:val="28"/>
          <w:szCs w:val="28"/>
        </w:rPr>
      </w:pPr>
      <w:r>
        <w:rPr>
          <w:rFonts w:cs="Times New Roman"/>
          <w:sz w:val="28"/>
          <w:szCs w:val="28"/>
        </w:rPr>
        <w:t>Медленно, но верно растёт жилищная обеспеченность. Так, в 2017 г. средний уровень обеспеченности населения общей площадью в расчёте на</w:t>
      </w:r>
      <w:r>
        <w:rPr>
          <w:rFonts w:cs="Times New Roman"/>
          <w:sz w:val="28"/>
          <w:szCs w:val="28"/>
          <w:lang w:val="en-US"/>
        </w:rPr>
        <w:t> </w:t>
      </w:r>
      <w:r>
        <w:rPr>
          <w:rFonts w:cs="Times New Roman"/>
          <w:sz w:val="28"/>
          <w:szCs w:val="28"/>
        </w:rPr>
        <w:t>одного жителя в Тереньгульском районе составляет 28,5 кв.м (рост по сравнению с 2008 г. на 19,7%), однако это связано не только с ростом ввода жилья, но и сокращением численности населения района.</w:t>
      </w:r>
    </w:p>
    <w:p>
      <w:pPr>
        <w:pStyle w:val="Caption"/>
        <w:keepNext w:val="true"/>
        <w:spacing w:before="120" w:after="0"/>
        <w:jc w:val="center"/>
        <w:rPr>
          <w:rFonts w:cs="Times New Roman"/>
          <w:color w:val="auto"/>
          <w:sz w:val="28"/>
          <w:szCs w:val="28"/>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17</w:t>
      </w:r>
      <w:r>
        <w:rPr>
          <w:sz w:val="28"/>
          <w:szCs w:val="28"/>
        </w:rPr>
        <w:fldChar w:fldCharType="end"/>
      </w:r>
      <w:r>
        <w:rPr>
          <w:color w:val="auto"/>
          <w:sz w:val="28"/>
          <w:szCs w:val="28"/>
        </w:rPr>
        <w:t xml:space="preserve"> -</w:t>
      </w:r>
      <w:r>
        <w:rPr>
          <w:rFonts w:cs="Times New Roman"/>
          <w:color w:val="auto"/>
          <w:sz w:val="28"/>
          <w:szCs w:val="28"/>
        </w:rPr>
        <w:t xml:space="preserve"> Показатели, характеризующие жилищное строительство </w:t>
      </w:r>
    </w:p>
    <w:p>
      <w:pPr>
        <w:pStyle w:val="Caption"/>
        <w:keepNext w:val="true"/>
        <w:spacing w:before="0" w:after="120"/>
        <w:jc w:val="center"/>
        <w:rPr/>
      </w:pPr>
      <w:r>
        <w:rPr>
          <w:rFonts w:cs="Times New Roman"/>
          <w:color w:val="auto"/>
          <w:sz w:val="28"/>
          <w:szCs w:val="28"/>
        </w:rPr>
        <w:t>в Тереньгульском районе за 2008-2017 гг.</w:t>
      </w:r>
    </w:p>
    <w:tbl>
      <w:tblPr>
        <w:tblW w:w="4850" w:type="pct"/>
        <w:jc w:val="left"/>
        <w:tblInd w:w="108" w:type="dxa"/>
        <w:tblCellMar>
          <w:top w:w="0" w:type="dxa"/>
          <w:left w:w="108" w:type="dxa"/>
          <w:bottom w:w="0" w:type="dxa"/>
          <w:right w:w="108" w:type="dxa"/>
        </w:tblCellMar>
        <w:tblLook w:noVBand="0" w:val="0000" w:noHBand="0" w:lastColumn="0" w:firstColumn="0" w:lastRow="0" w:firstRow="0"/>
      </w:tblPr>
      <w:tblGrid>
        <w:gridCol w:w="3031"/>
        <w:gridCol w:w="631"/>
        <w:gridCol w:w="631"/>
        <w:gridCol w:w="628"/>
        <w:gridCol w:w="632"/>
        <w:gridCol w:w="632"/>
        <w:gridCol w:w="633"/>
        <w:gridCol w:w="632"/>
        <w:gridCol w:w="632"/>
        <w:gridCol w:w="632"/>
        <w:gridCol w:w="632"/>
      </w:tblGrid>
      <w:tr>
        <w:trPr>
          <w:tblHeader w:val="true"/>
          <w:trHeight w:val="54" w:hRule="atLeast"/>
        </w:trPr>
        <w:tc>
          <w:tcPr>
            <w:tcW w:w="30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Показатели</w:t>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2008</w:t>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2009</w:t>
            </w:r>
          </w:p>
        </w:tc>
        <w:tc>
          <w:tcPr>
            <w:tcW w:w="6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2010</w:t>
            </w:r>
          </w:p>
        </w:tc>
        <w:tc>
          <w:tcPr>
            <w:tcW w:w="6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2011</w:t>
            </w:r>
          </w:p>
        </w:tc>
        <w:tc>
          <w:tcPr>
            <w:tcW w:w="6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2012</w:t>
            </w:r>
          </w:p>
        </w:tc>
        <w:tc>
          <w:tcPr>
            <w:tcW w:w="6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2013</w:t>
            </w:r>
          </w:p>
        </w:tc>
        <w:tc>
          <w:tcPr>
            <w:tcW w:w="6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2014</w:t>
            </w:r>
          </w:p>
        </w:tc>
        <w:tc>
          <w:tcPr>
            <w:tcW w:w="6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2015</w:t>
            </w:r>
          </w:p>
        </w:tc>
        <w:tc>
          <w:tcPr>
            <w:tcW w:w="6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2016</w:t>
            </w:r>
          </w:p>
        </w:tc>
        <w:tc>
          <w:tcPr>
            <w:tcW w:w="6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2017</w:t>
            </w:r>
          </w:p>
        </w:tc>
      </w:tr>
      <w:tr>
        <w:trPr>
          <w:trHeight w:val="60" w:hRule="atLeast"/>
        </w:trPr>
        <w:tc>
          <w:tcPr>
            <w:tcW w:w="30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Жилищный фонд, тыс. кв.м</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455,0</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457,5</w:t>
            </w:r>
          </w:p>
        </w:tc>
        <w:tc>
          <w:tcPr>
            <w:tcW w:w="628"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461,6</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465,1</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468,3</w:t>
            </w:r>
          </w:p>
        </w:tc>
        <w:tc>
          <w:tcPr>
            <w:tcW w:w="633"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472,9</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477,5</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486,9</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490,6</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496,1</w:t>
            </w:r>
          </w:p>
        </w:tc>
      </w:tr>
      <w:tr>
        <w:trPr>
          <w:trHeight w:val="263" w:hRule="atLeast"/>
        </w:trPr>
        <w:tc>
          <w:tcPr>
            <w:tcW w:w="30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в т.ч. в государственной собственности, %</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3,8</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3,0</w:t>
            </w:r>
          </w:p>
        </w:tc>
        <w:tc>
          <w:tcPr>
            <w:tcW w:w="6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2,9</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2,8</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2,8</w:t>
            </w:r>
          </w:p>
        </w:tc>
        <w:tc>
          <w:tcPr>
            <w:tcW w:w="6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2,8</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2,7</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2,3</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2,3</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2,2</w:t>
            </w:r>
          </w:p>
        </w:tc>
      </w:tr>
      <w:tr>
        <w:trPr>
          <w:trHeight w:val="369" w:hRule="atLeast"/>
        </w:trPr>
        <w:tc>
          <w:tcPr>
            <w:tcW w:w="303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585" w:leader="none"/>
              </w:tabs>
              <w:rPr>
                <w:rFonts w:cs="Times New Roman"/>
                <w:sz w:val="20"/>
                <w:szCs w:val="20"/>
              </w:rPr>
            </w:pPr>
            <w:r>
              <w:rPr>
                <w:rFonts w:cs="Times New Roman"/>
                <w:sz w:val="20"/>
                <w:szCs w:val="20"/>
              </w:rPr>
              <w:t xml:space="preserve">          </w:t>
            </w:r>
            <w:r>
              <w:rPr>
                <w:rFonts w:cs="Times New Roman"/>
                <w:sz w:val="20"/>
                <w:szCs w:val="20"/>
              </w:rPr>
              <w:t>в муниципальной собственности, %</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13,6</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12,9</w:t>
            </w:r>
          </w:p>
        </w:tc>
        <w:tc>
          <w:tcPr>
            <w:tcW w:w="6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12,4</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11,5</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10,6</w:t>
            </w:r>
          </w:p>
        </w:tc>
        <w:tc>
          <w:tcPr>
            <w:tcW w:w="6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9,0</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8,4</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7,7</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7,5</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7,2</w:t>
            </w:r>
          </w:p>
        </w:tc>
      </w:tr>
      <w:tr>
        <w:trPr>
          <w:trHeight w:val="60" w:hRule="atLeast"/>
        </w:trPr>
        <w:tc>
          <w:tcPr>
            <w:tcW w:w="30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 xml:space="preserve">          </w:t>
            </w:r>
            <w:r>
              <w:rPr>
                <w:rFonts w:cs="Times New Roman"/>
                <w:sz w:val="20"/>
                <w:szCs w:val="20"/>
              </w:rPr>
              <w:t>в частной собственности,%</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82,6</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84,0</w:t>
            </w:r>
          </w:p>
        </w:tc>
        <w:tc>
          <w:tcPr>
            <w:tcW w:w="6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84,6</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85,7</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86,6</w:t>
            </w:r>
          </w:p>
        </w:tc>
        <w:tc>
          <w:tcPr>
            <w:tcW w:w="6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88,2</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88,9</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90,0</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90,3</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90,5</w:t>
            </w:r>
          </w:p>
        </w:tc>
      </w:tr>
      <w:tr>
        <w:trPr>
          <w:trHeight w:val="60" w:hRule="atLeast"/>
        </w:trPr>
        <w:tc>
          <w:tcPr>
            <w:tcW w:w="30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 xml:space="preserve">          </w:t>
            </w:r>
            <w:r>
              <w:rPr>
                <w:rFonts w:cs="Times New Roman"/>
                <w:sz w:val="20"/>
                <w:szCs w:val="20"/>
              </w:rPr>
              <w:t>из нее в собственности граждан, %</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82,4</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83,8</w:t>
            </w:r>
          </w:p>
        </w:tc>
        <w:tc>
          <w:tcPr>
            <w:tcW w:w="6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84,4</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85,5</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86,4</w:t>
            </w:r>
          </w:p>
        </w:tc>
        <w:tc>
          <w:tcPr>
            <w:tcW w:w="6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88,0</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88,6</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89,8</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90,1</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90,3</w:t>
            </w:r>
          </w:p>
        </w:tc>
      </w:tr>
      <w:tr>
        <w:trPr>
          <w:trHeight w:val="60" w:hRule="atLeast"/>
        </w:trPr>
        <w:tc>
          <w:tcPr>
            <w:tcW w:w="30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Площадь жилищ, приходящаяся в среднем на одного жителя, кв. м</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23,8</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24,1</w:t>
            </w:r>
          </w:p>
        </w:tc>
        <w:tc>
          <w:tcPr>
            <w:tcW w:w="6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24,7</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25,1</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25,6</w:t>
            </w:r>
          </w:p>
        </w:tc>
        <w:tc>
          <w:tcPr>
            <w:tcW w:w="6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26,3</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26,7</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27,4</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lang w:val="en-US"/>
              </w:rPr>
            </w:pPr>
            <w:r>
              <w:rPr>
                <w:rFonts w:cs="Times New Roman"/>
                <w:bCs/>
                <w:iCs/>
                <w:sz w:val="20"/>
                <w:szCs w:val="20"/>
                <w:lang w:val="en-US"/>
              </w:rPr>
              <w:t>27,7</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28,5</w:t>
            </w:r>
          </w:p>
        </w:tc>
      </w:tr>
      <w:tr>
        <w:trPr>
          <w:trHeight w:val="57" w:hRule="atLeast"/>
        </w:trPr>
        <w:tc>
          <w:tcPr>
            <w:tcW w:w="30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Ввод в действие жилых домов, тыс. кв. м</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3,0</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3,3</w:t>
            </w:r>
          </w:p>
        </w:tc>
        <w:tc>
          <w:tcPr>
            <w:tcW w:w="6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4,8</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4,3</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4,5</w:t>
            </w:r>
          </w:p>
        </w:tc>
        <w:tc>
          <w:tcPr>
            <w:tcW w:w="6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4,6</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4,6</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13,0</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13,7</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bCs/>
                <w:iCs/>
                <w:sz w:val="20"/>
                <w:szCs w:val="20"/>
              </w:rPr>
            </w:pPr>
            <w:r>
              <w:rPr>
                <w:rFonts w:cs="Times New Roman"/>
                <w:bCs/>
                <w:iCs/>
                <w:sz w:val="20"/>
                <w:szCs w:val="20"/>
              </w:rPr>
              <w:t>14,7</w:t>
            </w:r>
          </w:p>
        </w:tc>
      </w:tr>
      <w:tr>
        <w:trPr>
          <w:trHeight w:val="57" w:hRule="atLeast"/>
        </w:trPr>
        <w:tc>
          <w:tcPr>
            <w:tcW w:w="30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bCs/>
                <w:sz w:val="20"/>
                <w:szCs w:val="20"/>
              </w:rPr>
              <w:t>Индекс физического объёма работ, выполненных собственными силами по виду экономической деятельности «строительство»,</w:t>
            </w:r>
            <w:r>
              <w:rPr>
                <w:rFonts w:cs="Times New Roman"/>
                <w:sz w:val="20"/>
                <w:szCs w:val="20"/>
              </w:rPr>
              <w:t xml:space="preserve"> % </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н/д</w:t>
            </w:r>
          </w:p>
        </w:tc>
        <w:tc>
          <w:tcPr>
            <w:tcW w:w="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н/д</w:t>
            </w:r>
          </w:p>
        </w:tc>
        <w:tc>
          <w:tcPr>
            <w:tcW w:w="62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0"/>
                <w:szCs w:val="20"/>
              </w:rPr>
            </w:pPr>
            <w:r>
              <w:rPr>
                <w:rFonts w:cs="Times New Roman"/>
                <w:sz w:val="20"/>
                <w:szCs w:val="20"/>
              </w:rPr>
              <w:t>н/д</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157</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170,2</w:t>
            </w:r>
          </w:p>
        </w:tc>
        <w:tc>
          <w:tcPr>
            <w:tcW w:w="633" w:type="dxa"/>
            <w:tcBorders>
              <w:top w:val="single" w:sz="4" w:space="0" w:color="000000"/>
              <w:left w:val="single" w:sz="4" w:space="0" w:color="000000"/>
              <w:bottom w:val="single" w:sz="4" w:space="0" w:color="000000"/>
              <w:right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395</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49,5</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3,2</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111,2</w:t>
            </w:r>
          </w:p>
        </w:tc>
        <w:tc>
          <w:tcPr>
            <w:tcW w:w="632" w:type="dxa"/>
            <w:tcBorders>
              <w:top w:val="single" w:sz="4" w:space="0" w:color="000000"/>
              <w:left w:val="single" w:sz="4" w:space="0" w:color="000000"/>
              <w:bottom w:val="single" w:sz="4" w:space="0" w:color="000000"/>
              <w:right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115,1</w:t>
            </w:r>
          </w:p>
        </w:tc>
      </w:tr>
    </w:tbl>
    <w:p>
      <w:pPr>
        <w:pStyle w:val="Normal"/>
        <w:ind w:firstLine="709"/>
        <w:jc w:val="both"/>
        <w:rPr>
          <w:rFonts w:cs="Times New Roman"/>
          <w:sz w:val="28"/>
          <w:szCs w:val="28"/>
        </w:rPr>
      </w:pPr>
      <w:r>
        <w:rPr>
          <w:rFonts w:cs="Times New Roman"/>
          <w:sz w:val="28"/>
          <w:szCs w:val="28"/>
        </w:rPr>
        <w:t>Из рисунка 22 видно, что площадь земельных участков на территории района, предоставленных для строительства, в 2017 г. в расчёте на 10 тыс. населения составила 5,3 га, по сравнению с 2011 г. значение показателя сократилось в 4,4 раза (информацию по данному показателю органы статистики начали предоставлять, начиная с 2011 г.). В целях дальнейшего развития жилищного строительства приоритетным является реализация проекта малоэтажной жилой застройки, так площадь земельных участков, выделенных для комплексного освоения, составляет 4,5 га в расчёте на 10 тыс. населения или 84,5% из общей площади земельных участков, в 2008 г. – 15,8 га в расчёте на 10 тыс. населения или 67,8%.</w:t>
      </w:r>
    </w:p>
    <w:p>
      <w:pPr>
        <w:pStyle w:val="Normal"/>
        <w:keepNext w:val="true"/>
        <w:widowControl w:val="false"/>
        <w:jc w:val="center"/>
        <w:rPr/>
      </w:pPr>
      <w:r>
        <w:rPr/>
        <w:drawing>
          <wp:inline distT="0" distB="0" distL="0" distR="0">
            <wp:extent cx="6098540" cy="3896360"/>
            <wp:effectExtent l="0" t="0" r="0" b="0"/>
            <wp:docPr id="2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Caption"/>
        <w:spacing w:before="0" w:after="0"/>
        <w:jc w:val="center"/>
        <w:rPr>
          <w:rFonts w:cs="Times New Roman"/>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22</w:t>
      </w:r>
      <w:r>
        <w:rPr>
          <w:sz w:val="28"/>
          <w:szCs w:val="28"/>
          <w:rFonts w:cs="Times New Roman"/>
        </w:rPr>
        <w:fldChar w:fldCharType="end"/>
      </w:r>
      <w:r>
        <w:rPr>
          <w:rFonts w:cs="Times New Roman"/>
          <w:color w:val="auto"/>
          <w:sz w:val="28"/>
          <w:szCs w:val="28"/>
        </w:rPr>
        <w:t xml:space="preserve"> Площадь земельный участков, предоставленных для строительства в Тереньгульском районе за 2011-2017 гг., га</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 xml:space="preserve">Доля населения, получившего жилые помещения и улучшившего жилищные условия в отчётном году, к числу нуждающихся составила 47%, рост на 16 п.п. по сравнению с 2011 г. Число семей, состоящих на учёте </w:t>
        <w:br/>
        <w:t xml:space="preserve">в качестве нуждающихся с каждым годом сокращается с 51 семьи в 2011 г. </w:t>
        <w:br/>
        <w:t xml:space="preserve">до 22 семей в 2017 г. Также сокращается число семей, получивших или улучшивших жилищные условия, если в 2011 г. 60 семей получили жильё, </w:t>
        <w:br/>
        <w:t xml:space="preserve">то по итогам 2017 г. 8 семей улучшили свои жилищные условия. Следует отметить, что до 2014 г. население получало жилые помещения не только </w:t>
        <w:br/>
        <w:t xml:space="preserve">на средства федеральных субвенций, но и по договорам социального найма и </w:t>
        <w:br/>
        <w:t>с 2014 г. начали семьи приобретать жилье на условиях ипотечного кредитования.</w:t>
      </w:r>
    </w:p>
    <w:p>
      <w:pPr>
        <w:pStyle w:val="Normal"/>
        <w:ind w:firstLine="709"/>
        <w:jc w:val="both"/>
        <w:rPr>
          <w:rFonts w:cs="Times New Roman"/>
          <w:sz w:val="28"/>
          <w:szCs w:val="28"/>
        </w:rPr>
      </w:pPr>
      <w:r>
        <w:rPr>
          <w:rFonts w:cs="Times New Roman"/>
          <w:sz w:val="28"/>
          <w:szCs w:val="28"/>
        </w:rPr>
      </w:r>
    </w:p>
    <w:p>
      <w:pPr>
        <w:pStyle w:val="Caption"/>
        <w:keepNext w:val="true"/>
        <w:spacing w:before="0" w:after="120"/>
        <w:jc w:val="center"/>
        <w:rPr>
          <w:rFonts w:cs="Times New Roman"/>
          <w:color w:val="auto"/>
          <w:sz w:val="28"/>
          <w:szCs w:val="28"/>
        </w:rPr>
      </w:pPr>
      <w:r>
        <w:rPr>
          <w:rFonts w:cs="Times New Roman"/>
          <w:color w:val="auto"/>
          <w:sz w:val="28"/>
          <w:szCs w:val="28"/>
        </w:rPr>
        <w:t xml:space="preserve">Таблица </w:t>
      </w:r>
      <w:r>
        <w:rPr>
          <w:rFonts w:cs="Times New Roman"/>
          <w:sz w:val="28"/>
          <w:szCs w:val="28"/>
        </w:rPr>
        <w:fldChar w:fldCharType="begin"/>
      </w:r>
      <w:r>
        <w:rPr>
          <w:sz w:val="28"/>
          <w:szCs w:val="28"/>
          <w:rFonts w:cs="Times New Roman"/>
        </w:rPr>
        <w:instrText> SEQ Таблица \* ARABIC </w:instrText>
      </w:r>
      <w:r>
        <w:rPr>
          <w:sz w:val="28"/>
          <w:szCs w:val="28"/>
          <w:rFonts w:cs="Times New Roman"/>
        </w:rPr>
        <w:fldChar w:fldCharType="separate"/>
      </w:r>
      <w:r>
        <w:rPr>
          <w:sz w:val="28"/>
          <w:szCs w:val="28"/>
          <w:rFonts w:cs="Times New Roman"/>
        </w:rPr>
        <w:t>18</w:t>
      </w:r>
      <w:r>
        <w:rPr>
          <w:sz w:val="28"/>
          <w:szCs w:val="28"/>
          <w:rFonts w:cs="Times New Roman"/>
        </w:rPr>
        <w:fldChar w:fldCharType="end"/>
      </w:r>
      <w:r>
        <w:rPr>
          <w:rFonts w:cs="Times New Roman"/>
          <w:color w:val="auto"/>
          <w:sz w:val="28"/>
          <w:szCs w:val="28"/>
        </w:rPr>
        <w:t xml:space="preserve"> Предоставление населению Тереньгульского района </w:t>
        <w:br/>
        <w:t>жилых помещений за 2011-2017 гг.</w:t>
      </w:r>
    </w:p>
    <w:tbl>
      <w:tblPr>
        <w:tblW w:w="4900" w:type="pct"/>
        <w:jc w:val="left"/>
        <w:tblInd w:w="0" w:type="dxa"/>
        <w:tblCellMar>
          <w:top w:w="0" w:type="dxa"/>
          <w:left w:w="108" w:type="dxa"/>
          <w:bottom w:w="0" w:type="dxa"/>
          <w:right w:w="108" w:type="dxa"/>
        </w:tblCellMar>
        <w:tblLook w:noVBand="0" w:val="0000" w:noHBand="0" w:lastColumn="0" w:firstColumn="0" w:lastRow="0" w:firstRow="0"/>
      </w:tblPr>
      <w:tblGrid>
        <w:gridCol w:w="3904"/>
        <w:gridCol w:w="734"/>
        <w:gridCol w:w="823"/>
        <w:gridCol w:w="824"/>
        <w:gridCol w:w="826"/>
        <w:gridCol w:w="823"/>
        <w:gridCol w:w="825"/>
        <w:gridCol w:w="684"/>
      </w:tblGrid>
      <w:tr>
        <w:trPr>
          <w:tblHeader w:val="true"/>
          <w:trHeight w:val="271" w:hRule="atLeast"/>
        </w:trPr>
        <w:tc>
          <w:tcPr>
            <w:tcW w:w="39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Наименование показателя</w:t>
            </w:r>
          </w:p>
        </w:tc>
        <w:tc>
          <w:tcPr>
            <w:tcW w:w="7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2011</w:t>
            </w:r>
          </w:p>
        </w:tc>
        <w:tc>
          <w:tcPr>
            <w:tcW w:w="8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2012</w:t>
            </w:r>
          </w:p>
        </w:tc>
        <w:tc>
          <w:tcPr>
            <w:tcW w:w="8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2013</w:t>
            </w:r>
          </w:p>
        </w:tc>
        <w:tc>
          <w:tcPr>
            <w:tcW w:w="8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2014</w:t>
            </w:r>
          </w:p>
        </w:tc>
        <w:tc>
          <w:tcPr>
            <w:tcW w:w="8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2015</w:t>
            </w:r>
          </w:p>
        </w:tc>
        <w:tc>
          <w:tcPr>
            <w:tcW w:w="8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2016</w:t>
            </w:r>
          </w:p>
        </w:tc>
        <w:tc>
          <w:tcPr>
            <w:tcW w:w="6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2017</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Доля населения, получившего жилые помещения и улучшившего жилищные условия в отчётном году, в общей численности населения, состоящего на учете в качестве нуждающегося в жилых помещениях, %</w:t>
            </w:r>
          </w:p>
        </w:tc>
        <w:tc>
          <w:tcPr>
            <w:tcW w:w="7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31,0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25,0</w:t>
            </w:r>
          </w:p>
        </w:tc>
        <w:tc>
          <w:tcPr>
            <w:tcW w:w="82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26,5</w:t>
            </w:r>
          </w:p>
        </w:tc>
        <w:tc>
          <w:tcPr>
            <w:tcW w:w="8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31,0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53,0</w:t>
            </w:r>
          </w:p>
        </w:tc>
        <w:tc>
          <w:tcPr>
            <w:tcW w:w="82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22,0</w:t>
            </w:r>
          </w:p>
        </w:tc>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47,0</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Число семей, состоящих на учете в качестве нуждающихся в жилых помещениях на конец  года, семей</w:t>
            </w:r>
          </w:p>
        </w:tc>
        <w:tc>
          <w:tcPr>
            <w:tcW w:w="7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51</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39</w:t>
            </w:r>
          </w:p>
        </w:tc>
        <w:tc>
          <w:tcPr>
            <w:tcW w:w="82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33</w:t>
            </w:r>
          </w:p>
        </w:tc>
        <w:tc>
          <w:tcPr>
            <w:tcW w:w="8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47</w:t>
            </w:r>
          </w:p>
        </w:tc>
        <w:tc>
          <w:tcPr>
            <w:tcW w:w="82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28</w:t>
            </w:r>
          </w:p>
        </w:tc>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22</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Число семей, получивших жилые помещения и улучшивших жилищные условия, семей</w:t>
            </w:r>
          </w:p>
        </w:tc>
        <w:tc>
          <w:tcPr>
            <w:tcW w:w="7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60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21</w:t>
            </w:r>
          </w:p>
        </w:tc>
        <w:tc>
          <w:tcPr>
            <w:tcW w:w="82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w:t>
            </w:r>
          </w:p>
        </w:tc>
        <w:tc>
          <w:tcPr>
            <w:tcW w:w="8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14</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14</w:t>
            </w:r>
          </w:p>
        </w:tc>
        <w:tc>
          <w:tcPr>
            <w:tcW w:w="82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10</w:t>
            </w:r>
          </w:p>
        </w:tc>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0"/>
                <w:szCs w:val="20"/>
              </w:rPr>
            </w:pPr>
            <w:r>
              <w:rPr>
                <w:rFonts w:cs="Times New Roman"/>
                <w:sz w:val="20"/>
                <w:szCs w:val="20"/>
              </w:rPr>
              <w:t>Общая площадь жилых помещений,- кв м</w:t>
            </w:r>
          </w:p>
        </w:tc>
        <w:tc>
          <w:tcPr>
            <w:tcW w:w="7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2434</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954</w:t>
            </w:r>
          </w:p>
        </w:tc>
        <w:tc>
          <w:tcPr>
            <w:tcW w:w="82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175</w:t>
            </w:r>
          </w:p>
        </w:tc>
        <w:tc>
          <w:tcPr>
            <w:tcW w:w="8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556</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876</w:t>
            </w:r>
          </w:p>
        </w:tc>
        <w:tc>
          <w:tcPr>
            <w:tcW w:w="82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594</w:t>
            </w:r>
          </w:p>
        </w:tc>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434</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tcBorders>
            <w:shd w:fill="auto" w:val="clear"/>
          </w:tcPr>
          <w:p>
            <w:pPr>
              <w:pStyle w:val="Normal"/>
              <w:ind w:left="284" w:hanging="0"/>
              <w:rPr>
                <w:rFonts w:cs="Times New Roman"/>
                <w:sz w:val="20"/>
                <w:szCs w:val="20"/>
              </w:rPr>
            </w:pPr>
            <w:r>
              <w:rPr>
                <w:rFonts w:cs="Times New Roman"/>
                <w:sz w:val="20"/>
                <w:szCs w:val="20"/>
              </w:rPr>
              <w:t>-. полученная по договорам социального найма</w:t>
            </w:r>
          </w:p>
        </w:tc>
        <w:tc>
          <w:tcPr>
            <w:tcW w:w="7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230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294</w:t>
            </w:r>
          </w:p>
        </w:tc>
        <w:tc>
          <w:tcPr>
            <w:tcW w:w="82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98</w:t>
            </w:r>
          </w:p>
        </w:tc>
        <w:tc>
          <w:tcPr>
            <w:tcW w:w="8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304</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82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tcBorders>
            <w:shd w:fill="auto" w:val="clear"/>
          </w:tcPr>
          <w:p>
            <w:pPr>
              <w:pStyle w:val="Normal"/>
              <w:ind w:left="284" w:hanging="0"/>
              <w:rPr>
                <w:rFonts w:cs="Times New Roman"/>
                <w:sz w:val="20"/>
                <w:szCs w:val="20"/>
              </w:rPr>
            </w:pPr>
            <w:r>
              <w:rPr>
                <w:rFonts w:cs="Times New Roman"/>
                <w:sz w:val="20"/>
                <w:szCs w:val="20"/>
              </w:rPr>
              <w:t>- на средства федеральных субвенций</w:t>
            </w:r>
          </w:p>
        </w:tc>
        <w:tc>
          <w:tcPr>
            <w:tcW w:w="7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2204</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660</w:t>
            </w:r>
          </w:p>
        </w:tc>
        <w:tc>
          <w:tcPr>
            <w:tcW w:w="82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77</w:t>
            </w:r>
          </w:p>
        </w:tc>
        <w:tc>
          <w:tcPr>
            <w:tcW w:w="8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210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714</w:t>
            </w:r>
          </w:p>
        </w:tc>
        <w:tc>
          <w:tcPr>
            <w:tcW w:w="82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468</w:t>
            </w:r>
          </w:p>
        </w:tc>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330</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tcBorders>
            <w:shd w:fill="auto" w:val="clear"/>
          </w:tcPr>
          <w:p>
            <w:pPr>
              <w:pStyle w:val="Normal"/>
              <w:ind w:left="284" w:hanging="0"/>
              <w:rPr>
                <w:rFonts w:cs="Times New Roman"/>
                <w:sz w:val="20"/>
                <w:szCs w:val="20"/>
              </w:rPr>
            </w:pPr>
            <w:r>
              <w:rPr>
                <w:rFonts w:cs="Times New Roman"/>
                <w:sz w:val="20"/>
                <w:szCs w:val="20"/>
              </w:rPr>
              <w:t>-по ипотечному кредитованию</w:t>
            </w:r>
          </w:p>
        </w:tc>
        <w:tc>
          <w:tcPr>
            <w:tcW w:w="7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82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8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42</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162</w:t>
            </w:r>
          </w:p>
        </w:tc>
        <w:tc>
          <w:tcPr>
            <w:tcW w:w="82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126</w:t>
            </w:r>
          </w:p>
        </w:tc>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104</w:t>
            </w:r>
          </w:p>
        </w:tc>
      </w:tr>
    </w:tbl>
    <w:p>
      <w:pPr>
        <w:pStyle w:val="Normal"/>
        <w:rPr>
          <w:rFonts w:cs="Times New Roman"/>
          <w:i/>
          <w:i/>
          <w:sz w:val="28"/>
          <w:szCs w:val="28"/>
        </w:rPr>
      </w:pPr>
      <w:r>
        <w:rPr>
          <w:rFonts w:cs="Times New Roman"/>
          <w:i/>
          <w:sz w:val="28"/>
          <w:szCs w:val="28"/>
        </w:rPr>
      </w:r>
    </w:p>
    <w:p>
      <w:pPr>
        <w:pStyle w:val="Normal"/>
        <w:ind w:firstLine="709"/>
        <w:jc w:val="both"/>
        <w:rPr>
          <w:rFonts w:cs="Times New Roman"/>
          <w:sz w:val="28"/>
          <w:szCs w:val="28"/>
        </w:rPr>
      </w:pPr>
      <w:r>
        <w:rPr>
          <w:rFonts w:cs="Times New Roman"/>
          <w:sz w:val="28"/>
          <w:szCs w:val="28"/>
        </w:rPr>
        <w:t xml:space="preserve">Площадь ветхого и аварийного жилищного фонда с 2008 по 2011 гг. росла с 1,9 до 3,4 тыс. кв.м, затем до 2015 г. оставалась практически неизменной, </w:t>
        <w:br/>
        <w:t xml:space="preserve">в 2016 г. уменьшилась до 2,8 тыс. кв.м. </w:t>
      </w:r>
    </w:p>
    <w:p>
      <w:pPr>
        <w:pStyle w:val="Normal"/>
        <w:ind w:firstLine="709"/>
        <w:jc w:val="both"/>
        <w:rPr>
          <w:rFonts w:cs="Times New Roman"/>
        </w:rPr>
      </w:pPr>
      <w:r>
        <w:rPr>
          <w:rFonts w:cs="Times New Roman"/>
          <w:sz w:val="28"/>
          <w:szCs w:val="28"/>
        </w:rPr>
        <w:t>В 2017 г. жилищный фонд, отнесённый к категории ветхого, сохранился на уровне 2016 г. Таким образом, уровень ветхого и аварийного жилья в период с 2008 по 2017 гг. вырос на 47,4%. Его доля в общей площади жилищного фонда района за исследуемый период увеличилась с 0,42% до 0,56%. Динамика изменения состояния ветхого и аварийного жилищного фонда Тереньгульского района представлена на рисунке 23.</w:t>
      </w:r>
    </w:p>
    <w:p>
      <w:pPr>
        <w:pStyle w:val="Normal"/>
        <w:keepNext w:val="true"/>
        <w:jc w:val="both"/>
        <w:rPr>
          <w:rFonts w:cs="Times New Roman"/>
        </w:rPr>
      </w:pPr>
      <w:r>
        <w:rPr/>
        <w:drawing>
          <wp:inline distT="0" distB="0" distL="0" distR="0">
            <wp:extent cx="6114415" cy="2106930"/>
            <wp:effectExtent l="0" t="0" r="0" b="0"/>
            <wp:docPr id="2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Caption"/>
        <w:spacing w:before="0" w:after="0"/>
        <w:jc w:val="center"/>
        <w:rPr>
          <w:rFonts w:cs="Times New Roman"/>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23</w:t>
      </w:r>
      <w:r>
        <w:rPr>
          <w:sz w:val="28"/>
          <w:szCs w:val="28"/>
          <w:rFonts w:cs="Times New Roman"/>
        </w:rPr>
        <w:fldChar w:fldCharType="end"/>
      </w:r>
      <w:r>
        <w:rPr>
          <w:rFonts w:cs="Times New Roman"/>
          <w:color w:val="auto"/>
          <w:sz w:val="28"/>
          <w:szCs w:val="28"/>
        </w:rPr>
        <w:t xml:space="preserve"> - Площадь ветхого и аварийного жилищного фонда</w:t>
      </w:r>
    </w:p>
    <w:p>
      <w:pPr>
        <w:pStyle w:val="Caption"/>
        <w:spacing w:before="0" w:after="0"/>
        <w:jc w:val="center"/>
        <w:rPr/>
      </w:pPr>
      <w:r>
        <w:rPr>
          <w:rFonts w:cs="Times New Roman"/>
          <w:color w:val="auto"/>
          <w:sz w:val="28"/>
          <w:szCs w:val="28"/>
        </w:rPr>
        <w:t>Тереньгульского района за 2008-2017 гг., тыс. кв. м</w:t>
      </w:r>
    </w:p>
    <w:p>
      <w:pPr>
        <w:pStyle w:val="Normal"/>
        <w:ind w:firstLine="709"/>
        <w:jc w:val="both"/>
        <w:rPr>
          <w:rFonts w:cs="Times New Roman"/>
          <w:b/>
          <w:b/>
          <w:sz w:val="28"/>
          <w:szCs w:val="28"/>
        </w:rPr>
      </w:pPr>
      <w:r>
        <w:rPr>
          <w:rFonts w:cs="Times New Roman"/>
          <w:b/>
          <w:sz w:val="28"/>
          <w:szCs w:val="28"/>
        </w:rPr>
      </w:r>
    </w:p>
    <w:p>
      <w:pPr>
        <w:pStyle w:val="Normal"/>
        <w:ind w:firstLine="709"/>
        <w:jc w:val="both"/>
        <w:rPr>
          <w:rFonts w:cs="Times New Roman"/>
          <w:sz w:val="28"/>
          <w:szCs w:val="28"/>
        </w:rPr>
      </w:pPr>
      <w:r>
        <w:rPr>
          <w:rFonts w:cs="Times New Roman"/>
          <w:sz w:val="28"/>
          <w:szCs w:val="28"/>
        </w:rPr>
        <w:t xml:space="preserve">Анализируя жилищный фонд Тереньгульского района можно выделить </w:t>
        <w:br/>
        <w:t>в качестве приоритетного направления в сфере жилищного строительства - реализацию проекта малоэтажной жилой застройки.</w:t>
      </w:r>
    </w:p>
    <w:p>
      <w:pPr>
        <w:pStyle w:val="Normal"/>
        <w:ind w:firstLine="709"/>
        <w:jc w:val="both"/>
        <w:rPr>
          <w:rFonts w:cs="Times New Roman"/>
          <w:sz w:val="28"/>
          <w:szCs w:val="28"/>
        </w:rPr>
      </w:pPr>
      <w:r>
        <w:rPr>
          <w:rFonts w:cs="Times New Roman"/>
          <w:sz w:val="28"/>
          <w:szCs w:val="28"/>
        </w:rPr>
        <w:t>Среди проблемных зон следует отметить рост ветхого аварийного жилищного фонда, сокращение предоставленных земельных участков для строительства на территории района.</w:t>
      </w:r>
    </w:p>
    <w:p>
      <w:pPr>
        <w:pStyle w:val="32"/>
        <w:rPr/>
      </w:pPr>
      <w:bookmarkStart w:id="30" w:name="_Toc2237201"/>
      <w:bookmarkStart w:id="31" w:name="_Toc4405000"/>
      <w:r>
        <w:rPr/>
        <w:t>1.5.10. Жилищно-коммунальная сфера и благоустройство</w:t>
      </w:r>
      <w:bookmarkEnd w:id="30"/>
      <w:bookmarkEnd w:id="31"/>
    </w:p>
    <w:p>
      <w:pPr>
        <w:pStyle w:val="Normal"/>
        <w:ind w:firstLine="708"/>
        <w:jc w:val="both"/>
        <w:rPr>
          <w:rFonts w:cs="Times New Roman"/>
          <w:color w:val="000000"/>
          <w:sz w:val="28"/>
          <w:szCs w:val="28"/>
          <w:highlight w:val="white"/>
        </w:rPr>
      </w:pPr>
      <w:r>
        <w:rPr>
          <w:rFonts w:cs="Times New Roman"/>
          <w:color w:val="000000"/>
          <w:sz w:val="28"/>
          <w:szCs w:val="28"/>
        </w:rPr>
        <w:t xml:space="preserve">В определенной мере проблема изношенного жилищного фонда решается путем его капитального ремонта и реконструкции. </w:t>
      </w:r>
      <w:r>
        <w:rPr>
          <w:rFonts w:cs="Times New Roman"/>
          <w:color w:val="000000"/>
          <w:sz w:val="28"/>
          <w:szCs w:val="28"/>
          <w:shd w:fill="FFFFFF" w:val="clear"/>
        </w:rPr>
        <w:t>В последнее время проблема капитального ремонта многоквартирных домов стала чуть ли не самой популярной темой из всех, связанных с жилищно-коммунальным хозяйством.</w:t>
      </w:r>
    </w:p>
    <w:p>
      <w:pPr>
        <w:pStyle w:val="Normal"/>
        <w:ind w:firstLine="708"/>
        <w:jc w:val="both"/>
        <w:rPr>
          <w:rFonts w:cs="Times New Roman"/>
          <w:sz w:val="28"/>
          <w:szCs w:val="28"/>
        </w:rPr>
      </w:pPr>
      <w:r>
        <w:rPr>
          <w:rFonts w:cs="Times New Roman"/>
          <w:sz w:val="28"/>
          <w:szCs w:val="28"/>
        </w:rPr>
        <w:t xml:space="preserve">Капитальный ремонт многоквартирных домов, расположенных </w:t>
        <w:br/>
        <w:t>на территории Тереньгульского района осуществляется в рамках региональной программы «Капитальный ремонт общего имущества в МКД, расположенных на территории Ульяновской области на 2014-</w:t>
      </w:r>
      <w:bookmarkStart w:id="32" w:name="_GoBack"/>
      <w:r>
        <w:rPr>
          <w:rFonts w:cs="Times New Roman"/>
          <w:sz w:val="28"/>
          <w:szCs w:val="28"/>
        </w:rPr>
        <w:t>204</w:t>
      </w:r>
      <w:bookmarkEnd w:id="32"/>
      <w:r>
        <w:rPr>
          <w:rFonts w:cs="Times New Roman"/>
          <w:sz w:val="28"/>
          <w:szCs w:val="28"/>
        </w:rPr>
        <w:t>4 гг.».</w:t>
      </w:r>
    </w:p>
    <w:p>
      <w:pPr>
        <w:pStyle w:val="Normal"/>
        <w:ind w:firstLine="708"/>
        <w:jc w:val="both"/>
        <w:rPr>
          <w:rFonts w:cs="Times New Roman"/>
          <w:sz w:val="28"/>
          <w:szCs w:val="28"/>
        </w:rPr>
      </w:pPr>
      <w:r>
        <w:rPr>
          <w:rFonts w:cs="Times New Roman"/>
          <w:sz w:val="28"/>
          <w:szCs w:val="28"/>
        </w:rPr>
        <w:t xml:space="preserve">В соответствии с данной программой лишь в 2015 г. был произведен капитальный ремонт крыши одного из домов Тереньгульского района и </w:t>
        <w:br/>
        <w:t xml:space="preserve">в последующем на протяжении уже 3-х лет капремонт многоквартирных домов не осуществлялся, в том числе из-за </w:t>
      </w:r>
      <w:r>
        <w:rPr>
          <w:rFonts w:cs="Times New Roman"/>
          <w:color w:val="000000"/>
          <w:sz w:val="28"/>
          <w:szCs w:val="28"/>
          <w:shd w:fill="FFFFFF" w:val="clear"/>
        </w:rPr>
        <w:t>пассивности собственников помещений. Так, п</w:t>
      </w:r>
      <w:r>
        <w:rPr>
          <w:rFonts w:cs="Times New Roman"/>
          <w:sz w:val="28"/>
          <w:szCs w:val="28"/>
        </w:rPr>
        <w:t xml:space="preserve">о запланированным объектам капремонта в Тереньгульском районе </w:t>
        <w:br/>
        <w:t xml:space="preserve">на 2019 г., выполнение работ находится под угрозой срыва, в связи </w:t>
        <w:br/>
        <w:t>с непредставлением протоколов решений собственников в соответствующие инстанции. Что в дальнейшем ведет к ухудшению технического состояния многоквартирных домов и нарастанию износа жилищного фонда.</w:t>
      </w:r>
    </w:p>
    <w:p>
      <w:pPr>
        <w:pStyle w:val="Normal"/>
        <w:ind w:firstLine="708"/>
        <w:jc w:val="both"/>
        <w:rPr>
          <w:rFonts w:cs="Times New Roman"/>
          <w:sz w:val="28"/>
          <w:szCs w:val="28"/>
        </w:rPr>
      </w:pPr>
      <w:r>
        <w:rPr>
          <w:rFonts w:cs="Times New Roman"/>
          <w:sz w:val="28"/>
          <w:szCs w:val="28"/>
        </w:rPr>
        <w:t>Комфортность проживания населения зависит от жилищных условий: обеспеченность водоснабжением, газоснабжением, отоплением, канализацией, благоустройство территорий.</w:t>
      </w:r>
    </w:p>
    <w:p>
      <w:pPr>
        <w:pStyle w:val="Normal"/>
        <w:ind w:firstLine="709"/>
        <w:jc w:val="both"/>
        <w:rPr>
          <w:rFonts w:cs="Times New Roman"/>
          <w:sz w:val="28"/>
          <w:szCs w:val="28"/>
        </w:rPr>
      </w:pPr>
      <w:r>
        <w:rPr>
          <w:rFonts w:cs="Times New Roman"/>
          <w:sz w:val="28"/>
          <w:szCs w:val="28"/>
        </w:rPr>
        <w:t xml:space="preserve">Уровень всех составляющих благоустройства жилья на территории Тереньгульского района, несмотря на рост показателей, характеризуется как низкий. </w:t>
      </w:r>
    </w:p>
    <w:p>
      <w:pPr>
        <w:pStyle w:val="NoSpacing"/>
        <w:ind w:firstLine="709"/>
        <w:jc w:val="both"/>
        <w:rPr>
          <w:rFonts w:ascii="Times New Roman" w:hAnsi="Times New Roman"/>
          <w:sz w:val="28"/>
          <w:szCs w:val="28"/>
        </w:rPr>
      </w:pPr>
      <w:r>
        <w:rPr>
          <w:rFonts w:ascii="Times New Roman" w:hAnsi="Times New Roman"/>
          <w:sz w:val="28"/>
          <w:szCs w:val="28"/>
        </w:rPr>
        <w:t>В 2017 г. жилищный фонд, оборудованный водопроводом составил 46 % (рост на 7% к уровню 2008 г.), водоотведением – 43 % (рост на 6%), отоплением – 51 % (рост на 7%), газом – 89 % (рост на 7,2%).</w:t>
      </w:r>
    </w:p>
    <w:p>
      <w:pPr>
        <w:pStyle w:val="Normal"/>
        <w:keepNext w:val="true"/>
        <w:widowControl w:val="false"/>
        <w:jc w:val="center"/>
        <w:rPr/>
      </w:pPr>
      <w:r>
        <w:rPr/>
        <w:drawing>
          <wp:inline distT="0" distB="0" distL="0" distR="0">
            <wp:extent cx="5764530" cy="3156585"/>
            <wp:effectExtent l="0" t="0" r="0" b="0"/>
            <wp:docPr id="2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Caption"/>
        <w:jc w:val="center"/>
        <w:rPr>
          <w:rFonts w:cs="Times New Roman"/>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24</w:t>
      </w:r>
      <w:r>
        <w:rPr>
          <w:sz w:val="28"/>
          <w:szCs w:val="28"/>
        </w:rPr>
        <w:fldChar w:fldCharType="end"/>
      </w:r>
      <w:r>
        <w:rPr>
          <w:color w:val="auto"/>
          <w:sz w:val="28"/>
          <w:szCs w:val="28"/>
        </w:rPr>
        <w:t xml:space="preserve"> - </w:t>
      </w:r>
      <w:r>
        <w:rPr>
          <w:rFonts w:cs="Times New Roman"/>
          <w:color w:val="auto"/>
          <w:sz w:val="28"/>
          <w:szCs w:val="28"/>
        </w:rPr>
        <w:t>Динамика показателей, характеризующих состояние жилищно-коммунальной сферы Тереньгульского района за 2008-2017 гг.</w:t>
      </w:r>
    </w:p>
    <w:p>
      <w:pPr>
        <w:pStyle w:val="Normal"/>
        <w:widowControl w:val="false"/>
        <w:ind w:firstLine="709"/>
        <w:jc w:val="both"/>
        <w:rPr>
          <w:sz w:val="28"/>
          <w:szCs w:val="28"/>
        </w:rPr>
      </w:pPr>
      <w:r>
        <w:rPr>
          <w:sz w:val="28"/>
          <w:szCs w:val="28"/>
        </w:rPr>
        <w:t>В целях улучшение условий проживания и повышения уровня жизни населения, обеспечения населения доброкачественной питьевой водой, природным газом Тереньгульским районом утверждена муниципальная программа «Развитие жилищно-коммунального хозяйства на территории муниципального образования «Тереньгульский район» на 2016-2018 гг.».</w:t>
      </w:r>
    </w:p>
    <w:p>
      <w:pPr>
        <w:pStyle w:val="Normal"/>
        <w:widowControl w:val="false"/>
        <w:ind w:firstLine="709"/>
        <w:jc w:val="both"/>
        <w:rPr>
          <w:rFonts w:cs="Times New Roman"/>
          <w:sz w:val="28"/>
          <w:szCs w:val="28"/>
        </w:rPr>
      </w:pPr>
      <w:r>
        <w:rPr>
          <w:rFonts w:cs="Times New Roman"/>
          <w:sz w:val="28"/>
          <w:szCs w:val="28"/>
        </w:rPr>
        <w:t xml:space="preserve">В рамках данной программы заложено финансирование на развитие газоснабжения и водоснабжения населённых пунктов Тереньгульского района из муниципального бюджета в размере 809,2 тыс. руб. в 2016 г., 954,4 тыс. руб. в 2017 г., 171,8 тыс. руб. в 2018 г. </w:t>
      </w:r>
    </w:p>
    <w:p>
      <w:pPr>
        <w:pStyle w:val="Normal"/>
        <w:spacing w:before="0" w:after="0"/>
        <w:ind w:firstLine="709"/>
        <w:contextualSpacing/>
        <w:jc w:val="both"/>
        <w:rPr>
          <w:rFonts w:cs="Times New Roman"/>
          <w:sz w:val="28"/>
          <w:szCs w:val="28"/>
        </w:rPr>
      </w:pPr>
      <w:r>
        <w:rPr>
          <w:rFonts w:cs="Times New Roman"/>
          <w:sz w:val="28"/>
          <w:szCs w:val="28"/>
        </w:rPr>
        <w:t xml:space="preserve">Таким образом, из 44 населённых пунктов Тереньгульского района 22 </w:t>
      </w:r>
      <w:r>
        <w:rPr>
          <w:rFonts w:cs="Times New Roman"/>
          <w:sz w:val="28"/>
          <w:szCs w:val="28"/>
          <w:lang w:eastAsia="ru-RU"/>
        </w:rPr>
        <w:t>–</w:t>
      </w:r>
      <w:r>
        <w:rPr>
          <w:rFonts w:cs="Times New Roman"/>
          <w:sz w:val="28"/>
          <w:szCs w:val="28"/>
        </w:rPr>
        <w:t xml:space="preserve"> подлежат дальнейшей газификации.</w:t>
      </w:r>
    </w:p>
    <w:p>
      <w:pPr>
        <w:pStyle w:val="Normal"/>
        <w:spacing w:before="0" w:after="0"/>
        <w:ind w:firstLine="709"/>
        <w:contextualSpacing/>
        <w:jc w:val="both"/>
        <w:rPr>
          <w:rFonts w:cs="Times New Roman"/>
          <w:sz w:val="28"/>
          <w:szCs w:val="28"/>
        </w:rPr>
      </w:pPr>
      <w:r>
        <w:rPr>
          <w:rFonts w:cs="Times New Roman"/>
          <w:sz w:val="28"/>
          <w:szCs w:val="28"/>
        </w:rPr>
        <w:t>По итогам 2017 г. протяжённость газовых сетей на территории района составила 197,6 км.</w:t>
      </w:r>
    </w:p>
    <w:p>
      <w:pPr>
        <w:pStyle w:val="ListParagraph"/>
        <w:ind w:left="0" w:firstLine="709"/>
        <w:jc w:val="both"/>
        <w:rPr>
          <w:rFonts w:cs="Times New Roman"/>
          <w:sz w:val="28"/>
          <w:szCs w:val="28"/>
          <w:lang w:eastAsia="ru-RU"/>
        </w:rPr>
      </w:pPr>
      <w:r>
        <w:rPr>
          <w:rFonts w:cs="Times New Roman"/>
          <w:sz w:val="28"/>
          <w:szCs w:val="28"/>
          <w:lang w:eastAsia="ru-RU"/>
        </w:rPr>
        <w:t xml:space="preserve">Жилищный фонд 28 населённых пунктов Тереньгульского района обеспечен водопроводом. Протяжённость водопроводных сетей Тереньгульского района на 01.01.2018 г. составляет 251 км, из них 50,14 км </w:t>
        <w:br/>
        <w:t>(20 %) нуждаются в замене. Для сравнения в 2008 г. протяженность водопроводов составляла 10,3 км (4,6 км (44,7%) – требовали замены).</w:t>
      </w:r>
    </w:p>
    <w:p>
      <w:pPr>
        <w:pStyle w:val="ListParagraph"/>
        <w:ind w:left="0" w:firstLine="709"/>
        <w:jc w:val="both"/>
        <w:rPr>
          <w:rFonts w:cs="Times New Roman"/>
          <w:sz w:val="28"/>
          <w:szCs w:val="28"/>
          <w:lang w:eastAsia="ru-RU"/>
        </w:rPr>
      </w:pPr>
      <w:r>
        <w:rPr>
          <w:rFonts w:cs="Times New Roman"/>
          <w:sz w:val="28"/>
          <w:szCs w:val="28"/>
          <w:lang w:eastAsia="ru-RU"/>
        </w:rPr>
        <w:t xml:space="preserve">Отпуск воды всем потребителям за 2017 г. составил 951,65 тыс. куб.м, </w:t>
        <w:br/>
        <w:t>в том числе населению – 567,81 тыс. куб.м, бюджетным организациям 359,22 тыс. куб.м, прочим организациям – 24,62 тыс. куб.м. К уровню 2011 г. неучтённый расход воды по итогам 2017 г. вырос на 6,5% и составил 145,68 тыс. куб.м (13,3% от всей подачи воды).</w:t>
      </w:r>
    </w:p>
    <w:p>
      <w:pPr>
        <w:pStyle w:val="ListParagraph"/>
        <w:ind w:left="0" w:firstLine="709"/>
        <w:jc w:val="both"/>
        <w:rPr>
          <w:rFonts w:cs="Times New Roman"/>
          <w:sz w:val="28"/>
          <w:szCs w:val="28"/>
          <w:lang w:eastAsia="ru-RU"/>
        </w:rPr>
      </w:pPr>
      <w:r>
        <w:rPr>
          <w:rFonts w:cs="Times New Roman"/>
          <w:sz w:val="28"/>
          <w:szCs w:val="28"/>
          <w:lang w:eastAsia="ru-RU"/>
        </w:rPr>
        <w:t>В районе действуют 42 скважины водозабора, но у большинства нет аварийных глубинных насосов.</w:t>
      </w:r>
    </w:p>
    <w:p>
      <w:pPr>
        <w:pStyle w:val="Normal"/>
        <w:ind w:firstLine="709"/>
        <w:jc w:val="both"/>
        <w:rPr>
          <w:rFonts w:cs="Times New Roman"/>
          <w:sz w:val="28"/>
          <w:szCs w:val="28"/>
        </w:rPr>
      </w:pPr>
      <w:r>
        <w:rPr>
          <w:rFonts w:cs="Times New Roman"/>
          <w:sz w:val="28"/>
          <w:szCs w:val="28"/>
        </w:rPr>
        <w:t xml:space="preserve">В период 2016 – 2018 гг. на развитие водоснабжения Тереньгульского района в рамках подпрограммы «Чистая вода муниципального образования «Тереньгульский район» было направлено 8,6 млн. руб., объём финансирования из муниципального бюджета составил 766,8 тыс. руб. </w:t>
      </w:r>
    </w:p>
    <w:p>
      <w:pPr>
        <w:pStyle w:val="Normal"/>
        <w:ind w:firstLine="709"/>
        <w:jc w:val="both"/>
        <w:rPr>
          <w:rFonts w:cs="Times New Roman"/>
          <w:sz w:val="28"/>
          <w:szCs w:val="28"/>
        </w:rPr>
      </w:pPr>
      <w:r>
        <w:rPr>
          <w:rFonts w:cs="Times New Roman"/>
          <w:sz w:val="28"/>
          <w:szCs w:val="28"/>
        </w:rPr>
        <w:t xml:space="preserve">Таким образом, проводимые мероприятия по развитию водоснабжения </w:t>
        <w:br/>
        <w:t>на территории Тереньгульского района в 2017 г. позволили заменить 2,1 км водопроводных сетей.</w:t>
      </w:r>
    </w:p>
    <w:p>
      <w:pPr>
        <w:pStyle w:val="Normal"/>
        <w:ind w:firstLine="709"/>
        <w:jc w:val="both"/>
        <w:rPr>
          <w:rFonts w:cs="Times New Roman"/>
          <w:sz w:val="28"/>
          <w:szCs w:val="28"/>
        </w:rPr>
      </w:pPr>
      <w:r>
        <w:rPr>
          <w:rFonts w:cs="Times New Roman"/>
          <w:sz w:val="28"/>
          <w:szCs w:val="28"/>
        </w:rPr>
        <w:t xml:space="preserve">Система водоотведения района представлена 9,6 км канализационных сетей, из которых 3,8 км (39,6% от общей протяженности сетей) нуждаются </w:t>
        <w:br/>
        <w:t xml:space="preserve">в замене. В 2008 г. протяжённость канализационных сетей составляла 7 км, </w:t>
        <w:br/>
        <w:t>из них 3,6 км (51,4%) были изношены). По итогам 2017 г. было заменено и отремонтировано 90 м канализационных сетей.</w:t>
      </w:r>
    </w:p>
    <w:p>
      <w:pPr>
        <w:pStyle w:val="Normal"/>
        <w:ind w:firstLine="709"/>
        <w:jc w:val="both"/>
        <w:rPr>
          <w:rFonts w:cs="Times New Roman"/>
          <w:sz w:val="28"/>
          <w:szCs w:val="28"/>
        </w:rPr>
      </w:pPr>
      <w:r>
        <w:rPr>
          <w:rFonts w:cs="Times New Roman"/>
          <w:sz w:val="28"/>
          <w:szCs w:val="28"/>
        </w:rPr>
        <w:t>Пропуск сточных вод за 2017 г. составил 181,94 тыс. куб.м., из них 78,5% сточных вод было пропущено через очистные сооружения.</w:t>
      </w:r>
    </w:p>
    <w:p>
      <w:pPr>
        <w:pStyle w:val="Normal"/>
        <w:ind w:firstLine="709"/>
        <w:jc w:val="both"/>
        <w:rPr>
          <w:rFonts w:cs="Times New Roman"/>
          <w:sz w:val="28"/>
          <w:szCs w:val="28"/>
        </w:rPr>
      </w:pPr>
      <w:r>
        <w:rPr>
          <w:rFonts w:cs="Times New Roman"/>
          <w:sz w:val="28"/>
          <w:szCs w:val="28"/>
        </w:rPr>
        <w:t xml:space="preserve">Централизованная система теплоснабжения Тереньгульского района представлена только в р.п. Тереньга, которая отапливает объекты социальной сферы и 49 многоквартирных домов. </w:t>
      </w:r>
    </w:p>
    <w:p>
      <w:pPr>
        <w:pStyle w:val="Normal"/>
        <w:ind w:firstLine="709"/>
        <w:jc w:val="both"/>
        <w:rPr>
          <w:rFonts w:cs="Times New Roman"/>
          <w:sz w:val="28"/>
          <w:szCs w:val="28"/>
        </w:rPr>
      </w:pPr>
      <w:r>
        <w:rPr>
          <w:rFonts w:cs="Times New Roman"/>
          <w:sz w:val="28"/>
          <w:szCs w:val="28"/>
        </w:rPr>
        <w:t xml:space="preserve">В составе коммунальных предприятий района эксплуатируется </w:t>
        <w:br/>
        <w:t xml:space="preserve">33 котельные, из них: 23 – газовых, 6 – угольных и 4 – электрических. </w:t>
      </w:r>
    </w:p>
    <w:p>
      <w:pPr>
        <w:pStyle w:val="Normal"/>
        <w:ind w:firstLine="709"/>
        <w:jc w:val="both"/>
        <w:rPr>
          <w:rFonts w:cs="Times New Roman"/>
          <w:sz w:val="28"/>
          <w:szCs w:val="28"/>
        </w:rPr>
      </w:pPr>
      <w:r>
        <w:rPr>
          <w:rFonts w:cs="Times New Roman"/>
          <w:sz w:val="28"/>
          <w:szCs w:val="28"/>
        </w:rPr>
        <w:t xml:space="preserve">Общее количество квартир в многоквартирном жилом фонде </w:t>
        <w:br/>
        <w:t>р.п.</w:t>
      </w:r>
      <w:r>
        <w:rPr>
          <w:rFonts w:cs="Times New Roman"/>
          <w:sz w:val="28"/>
          <w:szCs w:val="28"/>
          <w:lang w:val="en-US"/>
        </w:rPr>
        <w:t> </w:t>
      </w:r>
      <w:r>
        <w:rPr>
          <w:rFonts w:cs="Times New Roman"/>
          <w:sz w:val="28"/>
          <w:szCs w:val="28"/>
        </w:rPr>
        <w:t xml:space="preserve">Тереньга, которые подключены к квартальным котельным – 948, из них уже перешли на индивидуальное (поквартирное) газовое отопление – 635, осталось перевести 318 квартир. </w:t>
      </w:r>
    </w:p>
    <w:p>
      <w:pPr>
        <w:pStyle w:val="Normal"/>
        <w:ind w:firstLine="709"/>
        <w:jc w:val="both"/>
        <w:rPr>
          <w:rFonts w:cs="Times New Roman"/>
          <w:sz w:val="28"/>
          <w:szCs w:val="28"/>
        </w:rPr>
      </w:pPr>
      <w:r>
        <w:rPr>
          <w:rFonts w:cs="Times New Roman"/>
          <w:sz w:val="28"/>
          <w:szCs w:val="28"/>
        </w:rPr>
        <w:t>Протяжённость тепловых сетей составляет 5,04 км. Из общего количества тепловых сетей ветхие составляют 1,1 км. За 2017 г. было отремонтировано и заменено 300 м тепловых сетей.</w:t>
      </w:r>
    </w:p>
    <w:p>
      <w:pPr>
        <w:pStyle w:val="Normal"/>
        <w:ind w:firstLine="709"/>
        <w:jc w:val="both"/>
        <w:rPr>
          <w:rFonts w:cs="Times New Roman"/>
          <w:sz w:val="28"/>
          <w:szCs w:val="28"/>
        </w:rPr>
      </w:pPr>
      <w:r>
        <w:rPr>
          <w:rFonts w:cs="Times New Roman"/>
          <w:sz w:val="28"/>
          <w:szCs w:val="28"/>
        </w:rPr>
        <w:t>В целях развития и поддержки сферы благоустройства Тереньгульского района, администрация муниципального образования разработала муниципальную программу «Развитие благоустройства территорий населённых пунктов муниципального образования «Тереньгульский район» Ульяновской области на 2016-2020 гг.». Финансирование мероприятий осуществляется за</w:t>
      </w:r>
      <w:r>
        <w:rPr>
          <w:rFonts w:cs="Times New Roman"/>
          <w:sz w:val="28"/>
          <w:szCs w:val="28"/>
          <w:lang w:val="en-US"/>
        </w:rPr>
        <w:t> </w:t>
      </w:r>
      <w:r>
        <w:rPr>
          <w:rFonts w:cs="Times New Roman"/>
          <w:sz w:val="28"/>
          <w:szCs w:val="28"/>
        </w:rPr>
        <w:t>счёт средств местного бюджета в размере 500 тыс. руб. на 5 лет. Программа предусматривает организацию субботников и месячников по благоустройству, содержание фасадов зданий, размещение рекламных конструкций.</w:t>
      </w:r>
    </w:p>
    <w:p>
      <w:pPr>
        <w:pStyle w:val="Normal"/>
        <w:widowControl w:val="false"/>
        <w:ind w:firstLine="709"/>
        <w:jc w:val="both"/>
        <w:rPr>
          <w:rFonts w:cs="Times New Roman"/>
          <w:sz w:val="28"/>
          <w:szCs w:val="28"/>
        </w:rPr>
      </w:pPr>
      <w:r>
        <w:rPr>
          <w:rFonts w:cs="Times New Roman"/>
          <w:sz w:val="28"/>
          <w:szCs w:val="28"/>
        </w:rPr>
        <w:t xml:space="preserve">В 2018 г. Тереньгульский район также участвовал в государственной программе Ульяновской области «Формирование комфортной городской среды в Ульяновской области на 2018-2022 гг.». В соответствии с программой </w:t>
        <w:br/>
        <w:t>из областного бюджета было выделено финансирование в сумме 9 442,43 тыс. руб. На данное финансирование было выполнено благоустройство 3-х территорий общего пользования: площадь 40-летия Победы в р.п. Тереньга, площадь около дома культуры в с. Подкуровка и территория около КДЦ в с. Солдатская Ташла и территория ТОС «Сосновское» в с. Сосновка. Отремонтированы тротуары, памятники, установлены скамейки и урны, появилось освещение, выполнено озеленение.</w:t>
      </w:r>
    </w:p>
    <w:p>
      <w:pPr>
        <w:pStyle w:val="Normal"/>
        <w:ind w:firstLine="709"/>
        <w:jc w:val="both"/>
        <w:rPr>
          <w:rFonts w:cs="Times New Roman"/>
          <w:sz w:val="28"/>
          <w:szCs w:val="28"/>
        </w:rPr>
      </w:pPr>
      <w:r>
        <w:rPr>
          <w:rFonts w:cs="Times New Roman"/>
          <w:sz w:val="28"/>
          <w:szCs w:val="28"/>
        </w:rPr>
        <w:t xml:space="preserve">Что касается </w:t>
      </w:r>
      <w:r>
        <w:rPr>
          <w:rFonts w:cs="Times New Roman"/>
          <w:color w:val="000000"/>
          <w:sz w:val="28"/>
          <w:szCs w:val="28"/>
        </w:rPr>
        <w:t xml:space="preserve">благоустройства </w:t>
      </w:r>
      <w:r>
        <w:rPr>
          <w:rFonts w:cs="Times New Roman"/>
          <w:sz w:val="28"/>
          <w:szCs w:val="28"/>
        </w:rPr>
        <w:t xml:space="preserve">Тереньгульского района </w:t>
      </w:r>
      <w:r>
        <w:rPr>
          <w:rFonts w:cs="Times New Roman"/>
          <w:color w:val="000000"/>
          <w:sz w:val="28"/>
          <w:szCs w:val="28"/>
        </w:rPr>
        <w:t xml:space="preserve">по озеленению территории, то </w:t>
      </w:r>
      <w:r>
        <w:rPr>
          <w:rFonts w:cs="Times New Roman"/>
          <w:sz w:val="28"/>
          <w:szCs w:val="28"/>
        </w:rPr>
        <w:t>площадь зелёных насаждений и массивов достаточно маленькая – всего 0,4%.</w:t>
      </w:r>
    </w:p>
    <w:p>
      <w:pPr>
        <w:pStyle w:val="Normal"/>
        <w:ind w:firstLine="709"/>
        <w:jc w:val="both"/>
        <w:rPr>
          <w:rFonts w:cs="Times New Roman"/>
          <w:sz w:val="28"/>
          <w:szCs w:val="28"/>
        </w:rPr>
      </w:pPr>
      <w:r>
        <w:rPr>
          <w:rFonts w:cs="Times New Roman"/>
          <w:sz w:val="28"/>
          <w:szCs w:val="28"/>
        </w:rPr>
        <w:t>Общая протяженность всех улиц, проездов, набережных поселений Тереньгульского района на конец 2017 г. составила 277,2 км, в том числе освещённых частей улиц, проездов – 48 км, причём в с. Белогорское, с. Михайловка освещение улиц полностью отсутствует.</w:t>
      </w:r>
    </w:p>
    <w:p>
      <w:pPr>
        <w:pStyle w:val="Normal"/>
        <w:ind w:firstLine="709"/>
        <w:jc w:val="both"/>
        <w:rPr>
          <w:rFonts w:cs="Times New Roman"/>
          <w:sz w:val="28"/>
          <w:szCs w:val="28"/>
        </w:rPr>
      </w:pPr>
      <w:r>
        <w:rPr>
          <w:rFonts w:cs="Times New Roman"/>
          <w:color w:val="000000"/>
          <w:sz w:val="28"/>
          <w:szCs w:val="28"/>
        </w:rPr>
        <w:t>Эффективное функционирование и развитие дорожной сети является необходимым условием обеспечения безопасности, повышением уровня и улучшения условий жизни населения. </w:t>
      </w:r>
    </w:p>
    <w:p>
      <w:pPr>
        <w:pStyle w:val="Normal"/>
        <w:ind w:firstLine="709"/>
        <w:jc w:val="both"/>
        <w:rPr>
          <w:rFonts w:cs="Times New Roman"/>
          <w:sz w:val="28"/>
          <w:szCs w:val="28"/>
        </w:rPr>
      </w:pPr>
      <w:r>
        <w:rPr>
          <w:rFonts w:cs="Times New Roman"/>
          <w:sz w:val="28"/>
          <w:szCs w:val="28"/>
        </w:rPr>
        <w:t xml:space="preserve">На конец 2017 г. общая протяжённость автомобильных дорог, проходящих на территории Тереньгульского района составляет 528,1 км, в том числе 66 км федерального значения, 184,9 км – регионального и межмуниципального значения, 277,2 км – местного значения. </w:t>
      </w:r>
    </w:p>
    <w:p>
      <w:pPr>
        <w:pStyle w:val="Normal"/>
        <w:ind w:firstLine="567"/>
        <w:jc w:val="both"/>
        <w:rPr>
          <w:rFonts w:cs="Times New Roman"/>
          <w:sz w:val="28"/>
          <w:szCs w:val="28"/>
        </w:rPr>
      </w:pPr>
      <w:r>
        <w:rPr>
          <w:rFonts w:cs="Times New Roman"/>
          <w:sz w:val="28"/>
          <w:szCs w:val="28"/>
        </w:rPr>
        <w:t>Из общей протяжённости областных дорог – 179,8 км – с твёрдым покрытием, в том числе 157,5 км - с усовершенствованным.</w:t>
      </w:r>
    </w:p>
    <w:p>
      <w:pPr>
        <w:pStyle w:val="Normal"/>
        <w:ind w:firstLine="567"/>
        <w:jc w:val="both"/>
        <w:rPr>
          <w:rFonts w:cs="Times New Roman"/>
          <w:sz w:val="28"/>
          <w:szCs w:val="28"/>
        </w:rPr>
      </w:pPr>
      <w:r>
        <w:rPr>
          <w:rFonts w:cs="Times New Roman"/>
          <w:sz w:val="28"/>
          <w:szCs w:val="28"/>
        </w:rPr>
        <w:t xml:space="preserve">На протяжении исследуемого периода протяженность и состояние дорог регионального и межмуниципального значения осталось неизменным. </w:t>
      </w:r>
    </w:p>
    <w:p>
      <w:pPr>
        <w:pStyle w:val="Normal"/>
        <w:ind w:firstLine="567"/>
        <w:jc w:val="both"/>
        <w:rPr>
          <w:rFonts w:cs="Times New Roman"/>
          <w:sz w:val="28"/>
          <w:szCs w:val="28"/>
        </w:rPr>
      </w:pPr>
      <w:r>
        <w:rPr>
          <w:rFonts w:cs="Times New Roman"/>
          <w:sz w:val="28"/>
          <w:szCs w:val="28"/>
        </w:rPr>
        <w:t>Протяжённость местных дорог в 2017 г. увеличилась по сравнению с 2012 г. в 2,7 раза. В период с 2009 по 2011 гг. при расчёте показателя не учитывалась протяжённость улиц, поэтому значение составляло 33,6 км.</w:t>
      </w:r>
    </w:p>
    <w:p>
      <w:pPr>
        <w:pStyle w:val="Normal"/>
        <w:keepNext w:val="true"/>
        <w:jc w:val="both"/>
        <w:rPr>
          <w:rFonts w:cs="Times New Roman"/>
        </w:rPr>
      </w:pPr>
      <w:r>
        <w:rPr/>
        <w:drawing>
          <wp:inline distT="0" distB="0" distL="0" distR="0">
            <wp:extent cx="6135370" cy="3168650"/>
            <wp:effectExtent l="0" t="0" r="0" b="0"/>
            <wp:docPr id="2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Caption"/>
        <w:keepNext w:val="true"/>
        <w:spacing w:before="0" w:after="0"/>
        <w:jc w:val="center"/>
        <w:rPr>
          <w:rFonts w:cs="Times New Roman"/>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25</w:t>
      </w:r>
      <w:r>
        <w:rPr>
          <w:sz w:val="28"/>
          <w:szCs w:val="28"/>
          <w:rFonts w:cs="Times New Roman"/>
        </w:rPr>
        <w:fldChar w:fldCharType="end"/>
      </w:r>
      <w:r>
        <w:rPr>
          <w:rFonts w:cs="Times New Roman"/>
          <w:color w:val="auto"/>
          <w:sz w:val="28"/>
          <w:szCs w:val="28"/>
        </w:rPr>
        <w:t xml:space="preserve"> - Протяжённость автомобильных дорог </w:t>
      </w:r>
    </w:p>
    <w:p>
      <w:pPr>
        <w:pStyle w:val="Caption"/>
        <w:keepNext w:val="true"/>
        <w:spacing w:before="0" w:after="0"/>
        <w:jc w:val="center"/>
        <w:rPr>
          <w:rFonts w:cs="Times New Roman"/>
          <w:color w:val="auto"/>
          <w:sz w:val="28"/>
          <w:szCs w:val="28"/>
        </w:rPr>
      </w:pPr>
      <w:r>
        <w:rPr>
          <w:rFonts w:cs="Times New Roman"/>
          <w:color w:val="auto"/>
          <w:sz w:val="28"/>
          <w:szCs w:val="28"/>
        </w:rPr>
        <w:t>Тереньгульского района за 2009-2017 гг.</w:t>
      </w:r>
    </w:p>
    <w:p>
      <w:pPr>
        <w:pStyle w:val="Caption"/>
        <w:spacing w:before="0" w:after="0"/>
        <w:jc w:val="both"/>
        <w:rPr>
          <w:rFonts w:cs="Times New Roman"/>
          <w:color w:val="auto"/>
          <w:sz w:val="28"/>
          <w:szCs w:val="28"/>
        </w:rPr>
      </w:pPr>
      <w:r>
        <w:rPr>
          <w:rFonts w:cs="Times New Roman"/>
          <w:color w:val="auto"/>
          <w:sz w:val="28"/>
          <w:szCs w:val="28"/>
        </w:rPr>
      </w:r>
    </w:p>
    <w:p>
      <w:pPr>
        <w:pStyle w:val="Normal"/>
        <w:ind w:firstLine="567"/>
        <w:jc w:val="both"/>
        <w:rPr>
          <w:rFonts w:cs="Times New Roman"/>
          <w:sz w:val="28"/>
          <w:szCs w:val="28"/>
        </w:rPr>
      </w:pPr>
      <w:r>
        <w:rPr>
          <w:rFonts w:cs="Times New Roman"/>
          <w:sz w:val="28"/>
          <w:szCs w:val="28"/>
        </w:rPr>
        <w:t>В структуре автомобильных дорог местного значения 114,4 км – с твёрдым покрытием (рост в 2,3 раза к уровню 2012 г.), из них 95,5 км с усовершенствованным покрытием (рост в 2,8 раза к уровню 2012 г.).</w:t>
      </w:r>
    </w:p>
    <w:p>
      <w:pPr>
        <w:pStyle w:val="Normal"/>
        <w:ind w:firstLine="567"/>
        <w:jc w:val="both"/>
        <w:rPr>
          <w:rFonts w:cs="Times New Roman"/>
          <w:sz w:val="28"/>
          <w:szCs w:val="28"/>
        </w:rPr>
      </w:pPr>
      <w:r>
        <w:rPr>
          <w:rFonts w:cs="Times New Roman"/>
          <w:sz w:val="28"/>
          <w:szCs w:val="28"/>
        </w:rPr>
        <w:t>С 2012 г. отмечается, что более половины дорог общего пользования местного значения не отвечает нормативным требованиям. Данные о состоянии дорог местного значения в Тереньгульском районе представлены на рисунке 26, где видно, что доля дорог, не отвечающих нормативным требованиям, варьируется от 50% до 57,8% за период с 2012 до 2017 гг.</w:t>
      </w:r>
    </w:p>
    <w:p>
      <w:pPr>
        <w:pStyle w:val="Normal"/>
        <w:keepNext w:val="true"/>
        <w:jc w:val="center"/>
        <w:rPr>
          <w:rFonts w:cs="Times New Roman"/>
        </w:rPr>
      </w:pPr>
      <w:r>
        <w:rPr/>
        <w:drawing>
          <wp:inline distT="0" distB="0" distL="0" distR="0">
            <wp:extent cx="5774690" cy="2208530"/>
            <wp:effectExtent l="0" t="0" r="0" b="0"/>
            <wp:docPr id="3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Caption"/>
        <w:spacing w:before="0" w:after="0"/>
        <w:jc w:val="center"/>
        <w:rPr>
          <w:rFonts w:cs="Times New Roman"/>
          <w:bCs w:val="false"/>
          <w:iCs/>
          <w:color w:val="auto"/>
          <w:spacing w:val="-2"/>
          <w:sz w:val="28"/>
          <w:szCs w:val="28"/>
        </w:rPr>
      </w:pPr>
      <w:r>
        <w:rPr>
          <w:rFonts w:cs="Times New Roman"/>
          <w:color w:val="auto"/>
          <w:spacing w:val="-2"/>
          <w:sz w:val="28"/>
          <w:szCs w:val="28"/>
        </w:rPr>
        <w:t xml:space="preserve">Рисунок </w:t>
      </w:r>
      <w:r>
        <w:rPr>
          <w:rFonts w:cs="Times New Roman"/>
          <w:spacing w:val="-2"/>
          <w:sz w:val="28"/>
          <w:szCs w:val="28"/>
        </w:rPr>
        <w:fldChar w:fldCharType="begin"/>
      </w:r>
      <w:r>
        <w:rPr>
          <w:sz w:val="28"/>
          <w:spacing w:val="-2"/>
          <w:szCs w:val="28"/>
          <w:rFonts w:cs="Times New Roman"/>
        </w:rPr>
        <w:instrText> SEQ Рисунок \* ARABIC </w:instrText>
      </w:r>
      <w:r>
        <w:rPr>
          <w:sz w:val="28"/>
          <w:spacing w:val="-2"/>
          <w:szCs w:val="28"/>
          <w:rFonts w:cs="Times New Roman"/>
        </w:rPr>
        <w:fldChar w:fldCharType="separate"/>
      </w:r>
      <w:r>
        <w:rPr>
          <w:sz w:val="28"/>
          <w:spacing w:val="-2"/>
          <w:szCs w:val="28"/>
          <w:rFonts w:cs="Times New Roman"/>
        </w:rPr>
        <w:t>26</w:t>
      </w:r>
      <w:r>
        <w:rPr>
          <w:sz w:val="28"/>
          <w:spacing w:val="-2"/>
          <w:szCs w:val="28"/>
          <w:rFonts w:cs="Times New Roman"/>
        </w:rPr>
        <w:fldChar w:fldCharType="end"/>
      </w:r>
      <w:r>
        <w:rPr>
          <w:rFonts w:cs="Times New Roman"/>
          <w:bCs w:val="false"/>
          <w:iCs/>
          <w:color w:val="auto"/>
          <w:spacing w:val="-2"/>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cs="Times New Roman"/>
          <w:color w:val="auto"/>
          <w:spacing w:val="-2"/>
          <w:sz w:val="28"/>
          <w:szCs w:val="28"/>
        </w:rPr>
        <w:t xml:space="preserve"> в Тереньгульском районе за 2012-2017 гг.</w:t>
      </w:r>
      <w:r>
        <w:rPr>
          <w:rFonts w:cs="Times New Roman"/>
          <w:bCs w:val="false"/>
          <w:iCs/>
          <w:color w:val="auto"/>
          <w:spacing w:val="-2"/>
          <w:sz w:val="28"/>
          <w:szCs w:val="28"/>
        </w:rPr>
        <w:t>, %</w:t>
      </w:r>
    </w:p>
    <w:p>
      <w:pPr>
        <w:pStyle w:val="Normal"/>
        <w:rPr/>
      </w:pPr>
      <w:r>
        <w:rPr/>
      </w:r>
    </w:p>
    <w:p>
      <w:pPr>
        <w:pStyle w:val="Normal"/>
        <w:ind w:firstLine="567"/>
        <w:jc w:val="both"/>
        <w:rPr>
          <w:rFonts w:cs="Times New Roman"/>
          <w:sz w:val="28"/>
          <w:szCs w:val="28"/>
        </w:rPr>
      </w:pPr>
      <w:r>
        <w:rPr>
          <w:rFonts w:cs="Times New Roman"/>
          <w:sz w:val="28"/>
          <w:szCs w:val="28"/>
        </w:rPr>
        <w:t xml:space="preserve">В период с 2011 по 2016 гг. ситуация по доле </w:t>
      </w:r>
      <w:r>
        <w:rPr>
          <w:rFonts w:cs="Times New Roman"/>
          <w:bCs/>
          <w:iCs/>
          <w:sz w:val="28"/>
          <w:szCs w:val="28"/>
        </w:rPr>
        <w:t xml:space="preserve">населения, проживающего </w:t>
        <w:br/>
        <w:t xml:space="preserve">в населённых пунктах Тереньгульского района, не имеющих регулярного автобусного и (или) железнодорожного сообщения с административным центром, в общей численности населения муниципального района не менялась и составляла 1,3%. По итогам </w:t>
      </w:r>
      <w:r>
        <w:rPr>
          <w:rFonts w:cs="Times New Roman"/>
          <w:sz w:val="28"/>
          <w:szCs w:val="28"/>
        </w:rPr>
        <w:t>2017 г. показатель сократился до 1,2%.</w:t>
      </w:r>
    </w:p>
    <w:p>
      <w:pPr>
        <w:pStyle w:val="Normal"/>
        <w:ind w:firstLine="567"/>
        <w:jc w:val="both"/>
        <w:rPr>
          <w:rFonts w:cs="Times New Roman"/>
          <w:sz w:val="28"/>
          <w:szCs w:val="28"/>
        </w:rPr>
      </w:pPr>
      <w:r>
        <w:rPr>
          <w:rFonts w:cs="Times New Roman"/>
          <w:sz w:val="28"/>
          <w:szCs w:val="28"/>
        </w:rPr>
        <w:t>В 2018 г. на ремонт и содержание автомобильных дорог Тереньгульского района направлено – 873,47 млн. руб. (в 2017 г. – 599,5 млн. руб.), в том числе:</w:t>
      </w:r>
    </w:p>
    <w:p>
      <w:pPr>
        <w:pStyle w:val="Normal"/>
        <w:ind w:firstLine="720"/>
        <w:jc w:val="both"/>
        <w:rPr>
          <w:rFonts w:cs="Times New Roman"/>
          <w:sz w:val="28"/>
          <w:szCs w:val="28"/>
        </w:rPr>
      </w:pPr>
      <w:r>
        <w:rPr>
          <w:rFonts w:cs="Times New Roman"/>
          <w:sz w:val="28"/>
          <w:szCs w:val="28"/>
        </w:rPr>
        <w:t xml:space="preserve">- на автомобильные дороги федерального значения – 805,4 млн. руб. </w:t>
        <w:br/>
        <w:t>(в 2017 г. – 521,0 млн. руб.)</w:t>
      </w:r>
    </w:p>
    <w:p>
      <w:pPr>
        <w:pStyle w:val="Normal"/>
        <w:ind w:firstLine="720"/>
        <w:jc w:val="both"/>
        <w:rPr>
          <w:rFonts w:cs="Times New Roman"/>
          <w:sz w:val="28"/>
          <w:szCs w:val="28"/>
        </w:rPr>
      </w:pPr>
      <w:r>
        <w:rPr>
          <w:rFonts w:cs="Times New Roman"/>
          <w:spacing w:val="-4"/>
          <w:sz w:val="28"/>
          <w:szCs w:val="28"/>
        </w:rPr>
        <w:t xml:space="preserve">- на автомобильные дороги областного значения – 46,57 млн. руб. (в 2017 г. </w:t>
      </w:r>
      <w:r>
        <w:rPr>
          <w:rFonts w:cs="Times New Roman"/>
          <w:sz w:val="28"/>
          <w:szCs w:val="28"/>
        </w:rPr>
        <w:t>– 57,6 млн. руб.)</w:t>
      </w:r>
    </w:p>
    <w:p>
      <w:pPr>
        <w:pStyle w:val="Normal"/>
        <w:ind w:firstLine="720"/>
        <w:jc w:val="both"/>
        <w:rPr>
          <w:rFonts w:cs="Times New Roman"/>
          <w:sz w:val="28"/>
          <w:szCs w:val="28"/>
        </w:rPr>
      </w:pPr>
      <w:r>
        <w:rPr>
          <w:rFonts w:cs="Times New Roman"/>
          <w:sz w:val="28"/>
          <w:szCs w:val="28"/>
        </w:rPr>
        <w:t>- на автомобильные дороги местного значения – 21,5 млн. руб. (в 2017 г. 20,9 млн. руб.).</w:t>
      </w:r>
    </w:p>
    <w:p>
      <w:pPr>
        <w:pStyle w:val="Normal"/>
        <w:spacing w:lineRule="atLeast" w:line="200"/>
        <w:ind w:firstLine="708"/>
        <w:jc w:val="both"/>
        <w:rPr>
          <w:rFonts w:cs="Times New Roman"/>
          <w:sz w:val="28"/>
          <w:szCs w:val="28"/>
        </w:rPr>
      </w:pPr>
      <w:r>
        <w:rPr>
          <w:rFonts w:cs="Times New Roman"/>
          <w:sz w:val="28"/>
          <w:szCs w:val="28"/>
        </w:rPr>
        <w:t>С целью стабильного развития Тереньгульского района разработан 3-х летний план, который предусматривает финансирование дорожной деятельности в отношении областных дорог, с учётом выполнения комплекса работ по содержанию дорог: в 2018 г. – 82,5 млн. руб., в 2019 г. – 86,6 млн. руб. и в 2020 г. – 90,1 млн. руб. На данные средства планируется ежегодно ремонтировать не менее 9 км дорог.</w:t>
      </w:r>
    </w:p>
    <w:p>
      <w:pPr>
        <w:pStyle w:val="Normal"/>
        <w:spacing w:lineRule="atLeast" w:line="200"/>
        <w:ind w:firstLine="708"/>
        <w:jc w:val="both"/>
        <w:rPr>
          <w:rFonts w:cs="Times New Roman"/>
          <w:sz w:val="28"/>
          <w:szCs w:val="28"/>
        </w:rPr>
      </w:pPr>
      <w:r>
        <w:rPr>
          <w:rFonts w:cs="Times New Roman"/>
          <w:sz w:val="28"/>
          <w:szCs w:val="28"/>
        </w:rPr>
        <w:t>В 2019 г. Тереньгульскому району на ремонт автомобильных дорог местного значения планируется направить 25,7 млн. руб.</w:t>
      </w:r>
    </w:p>
    <w:p>
      <w:pPr>
        <w:pStyle w:val="Normal"/>
        <w:spacing w:lineRule="atLeast" w:line="200"/>
        <w:ind w:firstLine="708"/>
        <w:jc w:val="both"/>
        <w:rPr>
          <w:rFonts w:cs="Times New Roman"/>
          <w:sz w:val="28"/>
          <w:szCs w:val="28"/>
        </w:rPr>
      </w:pPr>
      <w:r>
        <w:rPr>
          <w:rFonts w:cs="Times New Roman"/>
          <w:sz w:val="28"/>
          <w:szCs w:val="28"/>
        </w:rPr>
        <w:t xml:space="preserve">В рамках обустройства дорог в течение 3-х лет планируется установить 880 ед. дорожных знаков, нанесение линий горизонтальной разметки общей протяженностью 57,05 км, приведение к требованиям новых национальных стандартов пешеходного перехода в с. Ясашная Ташла, устройство освещения 14 автопавильонов и приведение к нормативным требованиям остановок общественного транспорта, а также устройство освещения на протяжении </w:t>
        <w:br/>
        <w:t>7,9 км транзитных участков по населенным пунктам.</w:t>
      </w:r>
    </w:p>
    <w:p>
      <w:pPr>
        <w:pStyle w:val="Normal"/>
        <w:ind w:firstLine="567"/>
        <w:jc w:val="both"/>
        <w:rPr>
          <w:rFonts w:cs="Times New Roman"/>
          <w:sz w:val="28"/>
          <w:szCs w:val="28"/>
        </w:rPr>
      </w:pPr>
      <w:r>
        <w:rPr>
          <w:rFonts w:cs="Times New Roman"/>
          <w:sz w:val="28"/>
          <w:szCs w:val="28"/>
        </w:rPr>
        <w:t xml:space="preserve">Дорожно-транспортные происшествия и смертность на дорогах является неотъемлемой характеристикой состояния дел в дорожной сфере. </w:t>
      </w:r>
    </w:p>
    <w:p>
      <w:pPr>
        <w:pStyle w:val="Normal"/>
        <w:keepNext w:val="true"/>
        <w:jc w:val="center"/>
        <w:rPr>
          <w:rFonts w:cs="Times New Roman"/>
        </w:rPr>
      </w:pPr>
      <w:r>
        <w:rPr/>
        <w:drawing>
          <wp:inline distT="0" distB="0" distL="0" distR="0">
            <wp:extent cx="6014085" cy="2637790"/>
            <wp:effectExtent l="0" t="0" r="0" b="0"/>
            <wp:docPr id="3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Normal"/>
        <w:keepNext w:val="true"/>
        <w:jc w:val="center"/>
        <w:rPr>
          <w:rFonts w:cs="Times New Roman"/>
          <w:b/>
          <w:b/>
          <w:sz w:val="28"/>
          <w:szCs w:val="28"/>
        </w:rPr>
      </w:pPr>
      <w:r>
        <w:rPr>
          <w:rFonts w:cs="Times New Roman"/>
          <w:b/>
          <w:sz w:val="28"/>
          <w:szCs w:val="28"/>
        </w:rPr>
        <w:t xml:space="preserve">Рисунок </w:t>
      </w:r>
      <w:r>
        <w:rPr>
          <w:rFonts w:cs="Times New Roman"/>
          <w:b/>
          <w:sz w:val="28"/>
          <w:szCs w:val="28"/>
        </w:rPr>
        <w:fldChar w:fldCharType="begin"/>
      </w:r>
      <w:r>
        <w:rPr>
          <w:sz w:val="28"/>
          <w:b/>
          <w:szCs w:val="28"/>
          <w:rFonts w:cs="Times New Roman"/>
        </w:rPr>
        <w:instrText> SEQ Рисунок \* ARABIC </w:instrText>
      </w:r>
      <w:r>
        <w:rPr>
          <w:sz w:val="28"/>
          <w:b/>
          <w:szCs w:val="28"/>
          <w:rFonts w:cs="Times New Roman"/>
        </w:rPr>
        <w:fldChar w:fldCharType="separate"/>
      </w:r>
      <w:r>
        <w:rPr>
          <w:sz w:val="28"/>
          <w:b/>
          <w:szCs w:val="28"/>
          <w:rFonts w:cs="Times New Roman"/>
        </w:rPr>
        <w:t>27</w:t>
      </w:r>
      <w:r>
        <w:rPr>
          <w:sz w:val="28"/>
          <w:b/>
          <w:szCs w:val="28"/>
          <w:rFonts w:cs="Times New Roman"/>
        </w:rPr>
        <w:fldChar w:fldCharType="end"/>
      </w:r>
      <w:r>
        <w:rPr>
          <w:rFonts w:cs="Times New Roman"/>
          <w:b/>
          <w:sz w:val="28"/>
          <w:szCs w:val="28"/>
        </w:rPr>
        <w:t xml:space="preserve"> - Динамика дорожно-транспортных происшествий</w:t>
      </w:r>
    </w:p>
    <w:p>
      <w:pPr>
        <w:pStyle w:val="Caption"/>
        <w:spacing w:before="0" w:after="0"/>
        <w:jc w:val="center"/>
        <w:rPr>
          <w:rFonts w:cs="Times New Roman"/>
          <w:caps/>
          <w:color w:val="auto"/>
          <w:sz w:val="28"/>
          <w:szCs w:val="28"/>
        </w:rPr>
      </w:pPr>
      <w:r>
        <w:rPr>
          <w:rFonts w:cs="Times New Roman"/>
          <w:color w:val="auto"/>
          <w:sz w:val="28"/>
          <w:szCs w:val="28"/>
        </w:rPr>
        <w:t>в Тереньгульском районе за период 2009-2017 гг.</w:t>
      </w:r>
    </w:p>
    <w:p>
      <w:pPr>
        <w:pStyle w:val="Normal"/>
        <w:ind w:firstLine="709"/>
        <w:jc w:val="both"/>
        <w:rPr>
          <w:rFonts w:cs="Times New Roman"/>
          <w:sz w:val="28"/>
          <w:szCs w:val="28"/>
        </w:rPr>
      </w:pPr>
      <w:r>
        <w:rPr>
          <w:rFonts w:cs="Times New Roman"/>
          <w:sz w:val="28"/>
          <w:szCs w:val="28"/>
        </w:rPr>
        <w:t xml:space="preserve">Статистика дорожно-транспортных происшествий по итогам 2017 г. зафиксировала 25 столкновений (96,2% к уровню 2016 г.), в которых погибло </w:t>
        <w:br/>
        <w:t>5 человек (100%) и 38 человек получили травмы (131,0%).</w:t>
      </w:r>
    </w:p>
    <w:p>
      <w:pPr>
        <w:pStyle w:val="Normal"/>
        <w:ind w:firstLine="709"/>
        <w:jc w:val="both"/>
        <w:rPr>
          <w:rFonts w:cs="Times New Roman"/>
          <w:sz w:val="28"/>
          <w:szCs w:val="28"/>
        </w:rPr>
      </w:pPr>
      <w:r>
        <w:rPr>
          <w:rFonts w:cs="Times New Roman"/>
          <w:sz w:val="28"/>
          <w:szCs w:val="28"/>
        </w:rPr>
        <w:t xml:space="preserve">Грузооборот автотранспорта с 2009 г. по 2016 г. сократился в 7,4 раза. </w:t>
        <w:br/>
        <w:t xml:space="preserve">В 2017 г. переломлена негативная тенденция и намечен рост по сравнению </w:t>
        <w:br/>
        <w:t xml:space="preserve">с 2016 г. в 3,4 раза (2768,7 тыс. тонно-км против 809 тыс. тонно-км). Аналогичная ситуация прослеживается по объёму перевезенных грузов. С 2009 г. сократился объём перевозок с 188,9 тыс. тонн в 2009 г. до 33,9 тыс. тонн </w:t>
        <w:br/>
        <w:t xml:space="preserve">в 2016 г. В 2017 г. было перевезено - 45,2 тыс. тонн различных грузов (рост </w:t>
        <w:br/>
        <w:t>по сравнению с уровнем 2016 г. на 33,3%).</w:t>
      </w:r>
    </w:p>
    <w:p>
      <w:pPr>
        <w:pStyle w:val="Normal"/>
        <w:keepNext w:val="true"/>
        <w:jc w:val="center"/>
        <w:rPr>
          <w:rFonts w:cs="Times New Roman"/>
        </w:rPr>
      </w:pPr>
      <w:r>
        <w:rPr/>
        <w:drawing>
          <wp:inline distT="0" distB="0" distL="0" distR="0">
            <wp:extent cx="5713095" cy="2263140"/>
            <wp:effectExtent l="0" t="0" r="0" b="0"/>
            <wp:docPr id="3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Normal"/>
        <w:widowControl w:val="false"/>
        <w:jc w:val="center"/>
        <w:rPr>
          <w:rFonts w:cs="Times New Roman"/>
          <w:b/>
          <w:b/>
          <w:sz w:val="28"/>
          <w:szCs w:val="28"/>
        </w:rPr>
      </w:pPr>
      <w:r>
        <w:rPr>
          <w:rFonts w:cs="Times New Roman"/>
          <w:b/>
          <w:sz w:val="28"/>
          <w:szCs w:val="28"/>
        </w:rPr>
        <w:t xml:space="preserve">Рисунок </w:t>
      </w:r>
      <w:r>
        <w:rPr>
          <w:rFonts w:cs="Times New Roman"/>
          <w:b/>
          <w:sz w:val="28"/>
          <w:szCs w:val="28"/>
        </w:rPr>
        <w:fldChar w:fldCharType="begin"/>
      </w:r>
      <w:r>
        <w:rPr>
          <w:sz w:val="28"/>
          <w:b/>
          <w:szCs w:val="28"/>
          <w:rFonts w:cs="Times New Roman"/>
        </w:rPr>
        <w:instrText> SEQ Рисунок \* ARABIC </w:instrText>
      </w:r>
      <w:r>
        <w:rPr>
          <w:sz w:val="28"/>
          <w:b/>
          <w:szCs w:val="28"/>
          <w:rFonts w:cs="Times New Roman"/>
        </w:rPr>
        <w:fldChar w:fldCharType="separate"/>
      </w:r>
      <w:r>
        <w:rPr>
          <w:sz w:val="28"/>
          <w:b/>
          <w:szCs w:val="28"/>
          <w:rFonts w:cs="Times New Roman"/>
        </w:rPr>
        <w:t>28</w:t>
      </w:r>
      <w:r>
        <w:rPr>
          <w:sz w:val="28"/>
          <w:b/>
          <w:szCs w:val="28"/>
          <w:rFonts w:cs="Times New Roman"/>
        </w:rPr>
        <w:fldChar w:fldCharType="end"/>
      </w:r>
      <w:r>
        <w:rPr>
          <w:rFonts w:cs="Times New Roman"/>
          <w:b/>
          <w:sz w:val="28"/>
          <w:szCs w:val="28"/>
        </w:rPr>
        <w:t xml:space="preserve"> - Перевозки грузов и грузооборот автомобильного транспорта</w:t>
        <w:br/>
        <w:t>крупных и средних организаций всех видов деятельности за 2009-2017 гг.</w:t>
      </w:r>
    </w:p>
    <w:p>
      <w:pPr>
        <w:pStyle w:val="Caption"/>
        <w:spacing w:before="0" w:after="0"/>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b/>
          <w:sz w:val="28"/>
          <w:szCs w:val="28"/>
        </w:rPr>
        <w:t>Исходя из вышесказанного можно отметить ряд неотлагательных проблемных зон в сфере жилищно-коммунального хозяйства и благоустройства территорий Тереньгульского района</w:t>
      </w:r>
      <w:r>
        <w:rPr>
          <w:rFonts w:cs="Times New Roman"/>
          <w:sz w:val="28"/>
          <w:szCs w:val="28"/>
        </w:rPr>
        <w:t>:</w:t>
      </w:r>
    </w:p>
    <w:p>
      <w:pPr>
        <w:pStyle w:val="Normal"/>
        <w:ind w:firstLine="709"/>
        <w:jc w:val="both"/>
        <w:rPr>
          <w:rFonts w:cs="Times New Roman"/>
          <w:sz w:val="28"/>
          <w:szCs w:val="28"/>
        </w:rPr>
      </w:pPr>
      <w:r>
        <w:rPr>
          <w:rFonts w:cs="Times New Roman"/>
          <w:sz w:val="28"/>
          <w:szCs w:val="28"/>
        </w:rPr>
        <w:t>- низкий уровень благоустройства жилищного фонда водоснабжением, водоотведением, отоплением, газоснабжением;</w:t>
      </w:r>
    </w:p>
    <w:p>
      <w:pPr>
        <w:pStyle w:val="Normal"/>
        <w:ind w:firstLine="709"/>
        <w:jc w:val="both"/>
        <w:rPr>
          <w:rFonts w:cs="Times New Roman"/>
          <w:sz w:val="28"/>
          <w:szCs w:val="28"/>
        </w:rPr>
      </w:pPr>
      <w:r>
        <w:rPr>
          <w:rFonts w:cs="Times New Roman"/>
          <w:sz w:val="28"/>
          <w:szCs w:val="28"/>
        </w:rPr>
        <w:t>- рост степени износа коммунальных сетей;</w:t>
      </w:r>
    </w:p>
    <w:p>
      <w:pPr>
        <w:pStyle w:val="Normal"/>
        <w:ind w:firstLine="709"/>
        <w:jc w:val="both"/>
        <w:rPr>
          <w:rFonts w:cs="Times New Roman"/>
          <w:sz w:val="28"/>
          <w:szCs w:val="28"/>
        </w:rPr>
      </w:pPr>
      <w:r>
        <w:rPr>
          <w:rFonts w:cs="Times New Roman"/>
          <w:sz w:val="28"/>
          <w:szCs w:val="28"/>
        </w:rPr>
        <w:t>- большая часть дорог общего пользования местного значения не отвечает нормативным требованиям.</w:t>
      </w:r>
    </w:p>
    <w:p>
      <w:pPr>
        <w:pStyle w:val="Normal"/>
        <w:ind w:firstLine="709"/>
        <w:jc w:val="both"/>
        <w:rPr>
          <w:rFonts w:cs="Times New Roman"/>
          <w:sz w:val="28"/>
          <w:szCs w:val="28"/>
        </w:rPr>
      </w:pPr>
      <w:r>
        <w:rPr>
          <w:rFonts w:cs="Times New Roman"/>
          <w:sz w:val="28"/>
          <w:szCs w:val="28"/>
        </w:rPr>
      </w:r>
    </w:p>
    <w:p>
      <w:pPr>
        <w:pStyle w:val="32"/>
        <w:rPr/>
      </w:pPr>
      <w:bookmarkStart w:id="33" w:name="_Toc2237202"/>
      <w:bookmarkStart w:id="34" w:name="_Toc4405001"/>
      <w:r>
        <w:rPr/>
        <w:t>1.5.11. Связь</w:t>
      </w:r>
      <w:bookmarkEnd w:id="33"/>
      <w:bookmarkEnd w:id="34"/>
    </w:p>
    <w:p>
      <w:pPr>
        <w:pStyle w:val="Normal"/>
        <w:ind w:firstLine="709"/>
        <w:jc w:val="both"/>
        <w:rPr>
          <w:rFonts w:cs="Times New Roman"/>
          <w:sz w:val="28"/>
          <w:szCs w:val="28"/>
        </w:rPr>
      </w:pPr>
      <w:r>
        <w:rPr>
          <w:rFonts w:cs="Times New Roman"/>
          <w:sz w:val="28"/>
          <w:szCs w:val="28"/>
        </w:rPr>
        <w:t>Спектр современных услуг связи на территории Тереньгульского района достаточно развит: оказываются услуги почтовой связи, стационарной и мобильной телефонной связи, широкополосного доступа в информационно-телекоммуникационную сеть «Интернет», спутниковой связи, цифрового телерадиовещания.</w:t>
      </w:r>
    </w:p>
    <w:p>
      <w:pPr>
        <w:pStyle w:val="Normal"/>
        <w:ind w:firstLine="709"/>
        <w:jc w:val="both"/>
        <w:rPr>
          <w:rFonts w:cs="Times New Roman"/>
          <w:sz w:val="28"/>
          <w:szCs w:val="28"/>
        </w:rPr>
      </w:pPr>
      <w:r>
        <w:rPr>
          <w:rFonts w:cs="Times New Roman"/>
          <w:sz w:val="28"/>
          <w:szCs w:val="28"/>
        </w:rPr>
        <w:t>Услуги сотовой связи на территории Тереньгульского района оказывают 4 мобильных оператора: «МТС», «Билайн», «МегаФон» и Tele2. В зоне охвата уверенного сигнала связи находится 41 населенный пункт или 91,3% жителей муниципалитета, при этом лишь 61,3% из которых обеспечены сотовой связью стандарта 3</w:t>
      </w:r>
      <w:r>
        <w:rPr>
          <w:rFonts w:cs="Times New Roman"/>
          <w:sz w:val="28"/>
          <w:szCs w:val="28"/>
          <w:lang w:val="en-US"/>
        </w:rPr>
        <w:t>G</w:t>
      </w:r>
      <w:r>
        <w:rPr>
          <w:rFonts w:cs="Times New Roman"/>
          <w:sz w:val="28"/>
          <w:szCs w:val="28"/>
        </w:rPr>
        <w:t>/4</w:t>
      </w:r>
      <w:r>
        <w:rPr>
          <w:rFonts w:cs="Times New Roman"/>
          <w:sz w:val="28"/>
          <w:szCs w:val="28"/>
          <w:lang w:val="en-US"/>
        </w:rPr>
        <w:t>G</w:t>
      </w:r>
      <w:r>
        <w:rPr>
          <w:rFonts w:cs="Times New Roman"/>
          <w:sz w:val="28"/>
          <w:szCs w:val="28"/>
        </w:rPr>
        <w:t>.</w:t>
      </w:r>
    </w:p>
    <w:p>
      <w:pPr>
        <w:pStyle w:val="Normal"/>
        <w:ind w:firstLine="709"/>
        <w:jc w:val="both"/>
        <w:rPr>
          <w:rFonts w:cs="Times New Roman"/>
          <w:sz w:val="28"/>
          <w:szCs w:val="28"/>
        </w:rPr>
      </w:pPr>
      <w:r>
        <w:rPr>
          <w:rFonts w:cs="Times New Roman"/>
          <w:sz w:val="28"/>
          <w:szCs w:val="28"/>
        </w:rPr>
        <w:t xml:space="preserve">В 3 сельских населенных пунктах отсутствует или имеется нестабильный сигнал сотовой связи – это с. Федькино, с. Суровка и с. Риновский хутор. Основной причиной, затрудняющей обеспечение данных населенных пунктов уверенным сигналом, является очень сложный рельеф местности. </w:t>
        <w:br/>
        <w:t xml:space="preserve">Для устранения данной проблемы требуется строительство антенно-мачтовых сооружений. Одно из таких сооружений планируется построить в с. Федькино </w:t>
        <w:br/>
        <w:t>в рамках федерального проекта «Информационная инфраструктура» Национальной программы «Цифровая экономика России 2024».</w:t>
      </w:r>
    </w:p>
    <w:p>
      <w:pPr>
        <w:pStyle w:val="Normal"/>
        <w:ind w:firstLine="709"/>
        <w:jc w:val="both"/>
        <w:rPr>
          <w:rFonts w:cs="Times New Roman"/>
          <w:sz w:val="28"/>
          <w:szCs w:val="28"/>
        </w:rPr>
      </w:pPr>
      <w:r>
        <w:rPr>
          <w:rFonts w:cs="Times New Roman"/>
          <w:sz w:val="28"/>
          <w:szCs w:val="28"/>
        </w:rPr>
        <w:t xml:space="preserve">Услуги стационарной телефонной связи и обеспечение доступа к сети «Интернет» представляет телекоммуникационная компания «Ростелеком». Число телефонных аппаратов телефонной сети общего пользования или имеющих на неё вход, обслуживаемых данным оператором, достигло уровня 2 255 единиц. По сравнению с 2008 г. значение данного показателя увеличилось на 35%. Повысилась численность обслуживаемых квартирных телефонных аппаратов </w:t>
      </w:r>
      <w:r>
        <w:rPr>
          <w:rFonts w:eastAsia="Symbol" w:cs="Symbol" w:ascii="Symbol" w:hAnsi="Symbol"/>
          <w:sz w:val="28"/>
          <w:szCs w:val="28"/>
        </w:rPr>
        <w:t></w:t>
      </w:r>
      <w:r>
        <w:rPr>
          <w:rFonts w:cs="Times New Roman"/>
          <w:sz w:val="28"/>
          <w:szCs w:val="28"/>
        </w:rPr>
        <w:t xml:space="preserve"> с 1 257 единиц в 2008 г. до 1 666 аппаратов в 2018 г.</w:t>
      </w:r>
    </w:p>
    <w:p>
      <w:pPr>
        <w:pStyle w:val="Normal"/>
        <w:spacing w:before="120" w:after="120"/>
        <w:jc w:val="center"/>
        <w:rPr>
          <w:rFonts w:cs="Times New Roman"/>
          <w:b/>
          <w:b/>
          <w:sz w:val="28"/>
          <w:szCs w:val="28"/>
        </w:rPr>
      </w:pPr>
      <w:r>
        <w:rPr>
          <w:rFonts w:cs="Times New Roman"/>
          <w:b/>
          <w:sz w:val="28"/>
          <w:szCs w:val="28"/>
        </w:rPr>
        <w:t xml:space="preserve">Таблица </w:t>
      </w:r>
      <w:r>
        <w:rPr>
          <w:rFonts w:cs="Times New Roman"/>
          <w:b/>
          <w:sz w:val="28"/>
          <w:szCs w:val="28"/>
        </w:rPr>
        <w:fldChar w:fldCharType="begin"/>
      </w:r>
      <w:r>
        <w:rPr>
          <w:sz w:val="28"/>
          <w:b/>
          <w:szCs w:val="28"/>
          <w:rFonts w:cs="Times New Roman"/>
        </w:rPr>
        <w:instrText> SEQ Таблица \* ARABIC </w:instrText>
      </w:r>
      <w:r>
        <w:rPr>
          <w:sz w:val="28"/>
          <w:b/>
          <w:szCs w:val="28"/>
          <w:rFonts w:cs="Times New Roman"/>
        </w:rPr>
        <w:fldChar w:fldCharType="separate"/>
      </w:r>
      <w:r>
        <w:rPr>
          <w:sz w:val="28"/>
          <w:b/>
          <w:szCs w:val="28"/>
          <w:rFonts w:cs="Times New Roman"/>
        </w:rPr>
        <w:t>19</w:t>
      </w:r>
      <w:r>
        <w:rPr>
          <w:sz w:val="28"/>
          <w:b/>
          <w:szCs w:val="28"/>
          <w:rFonts w:cs="Times New Roman"/>
        </w:rPr>
        <w:fldChar w:fldCharType="end"/>
      </w:r>
      <w:r>
        <w:rPr>
          <w:rFonts w:cs="Times New Roman"/>
          <w:b/>
          <w:sz w:val="28"/>
          <w:szCs w:val="28"/>
        </w:rPr>
        <w:t xml:space="preserve"> - Число телефонных аппаратов телефонной сети общего пользования в Тереньгульском районе за 2008-2018 гг.</w:t>
      </w:r>
    </w:p>
    <w:tbl>
      <w:tblPr>
        <w:tblW w:w="5000" w:type="pct"/>
        <w:jc w:val="left"/>
        <w:tblInd w:w="0" w:type="dxa"/>
        <w:tblCellMar>
          <w:top w:w="0" w:type="dxa"/>
          <w:left w:w="103" w:type="dxa"/>
          <w:bottom w:w="0" w:type="dxa"/>
          <w:right w:w="108" w:type="dxa"/>
        </w:tblCellMar>
        <w:tblLook w:noVBand="1" w:val="04a0" w:noHBand="0" w:lastColumn="0" w:firstColumn="1" w:lastRow="0" w:firstRow="1"/>
      </w:tblPr>
      <w:tblGrid>
        <w:gridCol w:w="2048"/>
        <w:gridCol w:w="693"/>
        <w:gridCol w:w="693"/>
        <w:gridCol w:w="694"/>
        <w:gridCol w:w="692"/>
        <w:gridCol w:w="694"/>
        <w:gridCol w:w="692"/>
        <w:gridCol w:w="693"/>
        <w:gridCol w:w="694"/>
        <w:gridCol w:w="692"/>
        <w:gridCol w:w="694"/>
        <w:gridCol w:w="658"/>
      </w:tblGrid>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cs="Times New Roman"/>
                <w:b/>
                <w:b/>
                <w:spacing w:val="-6"/>
                <w:sz w:val="22"/>
                <w:szCs w:val="22"/>
                <w:lang w:eastAsia="ru-RU"/>
              </w:rPr>
            </w:pPr>
            <w:r>
              <w:rPr>
                <w:rFonts w:cs="Times New Roman"/>
                <w:b/>
                <w:spacing w:val="-6"/>
                <w:sz w:val="22"/>
                <w:szCs w:val="22"/>
                <w:lang w:eastAsia="ru-RU"/>
              </w:rPr>
              <w:t>Наименование показателя</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2008</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2009</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2010</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2011</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2012</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2013</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2014</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2015</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2016</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2017</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2018</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cs="Times New Roman"/>
                <w:sz w:val="22"/>
                <w:szCs w:val="22"/>
              </w:rPr>
            </w:pPr>
            <w:r>
              <w:rPr>
                <w:rFonts w:cs="Times New Roman"/>
                <w:sz w:val="22"/>
                <w:szCs w:val="22"/>
              </w:rPr>
              <w:t xml:space="preserve">Число телефонных аппаратов (включая таксофоны) телефонной сети общего пользования или имеющих на нее выход, ед., в т.ч.: </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1712</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1748</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1839</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1948</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1954</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1985</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2057</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2187</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2143</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2209</w:t>
            </w:r>
          </w:p>
        </w:tc>
        <w:tc>
          <w:tcPr>
            <w:tcW w:w="6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2255</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ind w:left="284" w:hanging="0"/>
              <w:jc w:val="both"/>
              <w:rPr>
                <w:rFonts w:cs="Times New Roman"/>
                <w:sz w:val="22"/>
                <w:szCs w:val="22"/>
              </w:rPr>
            </w:pPr>
            <w:r>
              <w:rPr>
                <w:rFonts w:cs="Times New Roman"/>
                <w:sz w:val="22"/>
                <w:szCs w:val="22"/>
              </w:rPr>
              <w:t>квартирных телефонных аппаратов, ед.</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1257</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1302</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1337</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1423</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1472</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1485</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1502</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1587</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1564</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1612</w:t>
            </w:r>
          </w:p>
        </w:tc>
        <w:tc>
          <w:tcPr>
            <w:tcW w:w="65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1666</w:t>
            </w:r>
          </w:p>
        </w:tc>
      </w:tr>
    </w:tbl>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94,5% населения, проживающего в 37 населенных пунктах Тереньгульского района, имеют широкополосный доступ к информационно-телекоммуникационной сети «Интернет», при этом в 18 населенных пунктах доступ к сети представлен по волоконно-оптическим линиям связи.</w:t>
      </w:r>
    </w:p>
    <w:p>
      <w:pPr>
        <w:pStyle w:val="Normal"/>
        <w:ind w:firstLine="709"/>
        <w:jc w:val="both"/>
        <w:rPr>
          <w:rFonts w:cs="Times New Roman"/>
          <w:sz w:val="28"/>
          <w:szCs w:val="28"/>
        </w:rPr>
      </w:pPr>
      <w:r>
        <w:rPr>
          <w:rFonts w:cs="Times New Roman"/>
          <w:sz w:val="28"/>
          <w:szCs w:val="28"/>
        </w:rPr>
        <w:t>Ввиду наличия технических причин не подключены к широкополосной сети 7 населенных пунктов с численностью населения от 41 до 159 человек. Неудовлетворительное качество сети «Интернет» имеется в 4 сельских населенных пунктах, в которых проживает более 1800 человек.</w:t>
      </w:r>
    </w:p>
    <w:p>
      <w:pPr>
        <w:pStyle w:val="Normal"/>
        <w:ind w:firstLine="709"/>
        <w:jc w:val="both"/>
        <w:rPr>
          <w:rFonts w:cs="Times New Roman"/>
          <w:sz w:val="28"/>
          <w:szCs w:val="28"/>
        </w:rPr>
      </w:pPr>
      <w:r>
        <w:rPr>
          <w:rFonts w:cs="Times New Roman"/>
          <w:sz w:val="28"/>
          <w:szCs w:val="28"/>
        </w:rPr>
        <w:t xml:space="preserve">С целью обеспечения современными видами связи жителей малых и удалённых населённых пунктов компанией «Ростелеком» реализуется проект «Устранение цифрового неравенства», предусматривающий проведение мероприятий по дальнейшему развитию услуг связи: строительство волоконно-оптической линии связи и установку точки доступа к сети «Интернет» в населенных пунктах с численностью жителей от 250 до 500 человек. В рамках программы уже организован доступ волоконно-оптической линии связи </w:t>
        <w:br/>
        <w:t>в 7 населённых пунктах, в которых проживает 3096 человек. До конца 2019 г. планируется оборудовать еще 2 сельских населенных пункта – это с. Гладчиха и пос. Мочилки.</w:t>
      </w:r>
    </w:p>
    <w:p>
      <w:pPr>
        <w:pStyle w:val="Normal"/>
        <w:ind w:firstLine="709"/>
        <w:jc w:val="both"/>
        <w:rPr>
          <w:rFonts w:cs="Times New Roman"/>
          <w:spacing w:val="-2"/>
          <w:sz w:val="28"/>
          <w:szCs w:val="28"/>
        </w:rPr>
      </w:pPr>
      <w:r>
        <w:rPr>
          <w:rFonts w:cs="Times New Roman"/>
          <w:spacing w:val="-2"/>
          <w:sz w:val="28"/>
          <w:szCs w:val="28"/>
        </w:rPr>
        <w:t>В отличие от сети «Интернет» зона покрытия спутниковым сигналом на территории Тереньгульского района равна 100%. Основными спутниковыми операторами на территории муниципалитета являются «Телекарта» и «Триколор». К ним подключено 6589 домохозяйств или 78,2% от их общего числа.</w:t>
      </w:r>
    </w:p>
    <w:p>
      <w:pPr>
        <w:pStyle w:val="Normal"/>
        <w:ind w:firstLine="709"/>
        <w:jc w:val="both"/>
        <w:rPr>
          <w:rFonts w:cs="Times New Roman"/>
          <w:sz w:val="28"/>
          <w:szCs w:val="28"/>
        </w:rPr>
      </w:pPr>
      <w:r>
        <w:rPr>
          <w:rFonts w:cs="Times New Roman"/>
          <w:sz w:val="28"/>
          <w:szCs w:val="28"/>
        </w:rPr>
        <w:t xml:space="preserve">В рамках реализации федеральной целевой программы «Развитие телерадиовещания в Российской Федерации на 2009-2018 гг.» на территории Тереньгульского района завершены работы по строительству сети цифрового эфирного телевещания. В с. Ясашная Ташла и с. Гладчиха смонтировано </w:t>
        <w:br/>
        <w:t>2 цифровых объекта. Зона покрытия цифрового телерадиовещания на территории муниципалитета достигла уровня 96,4%.</w:t>
      </w:r>
    </w:p>
    <w:p>
      <w:pPr>
        <w:pStyle w:val="Normal"/>
        <w:ind w:firstLine="709"/>
        <w:jc w:val="both"/>
        <w:rPr>
          <w:rFonts w:cs="Times New Roman"/>
          <w:sz w:val="28"/>
          <w:szCs w:val="28"/>
        </w:rPr>
      </w:pPr>
      <w:r>
        <w:rPr>
          <w:rFonts w:cs="Times New Roman"/>
          <w:sz w:val="28"/>
          <w:szCs w:val="28"/>
        </w:rPr>
        <w:t xml:space="preserve">Услугами почтовой связи посредством отделений ФГУП «Почта России» обеспечены 50% населенных пунктов Тереньгульского района. Поселения, </w:t>
        <w:br/>
        <w:t>в которых отсутствуют стационарные отделения связи, обслуживаются посредством передвижных пунктов. Услуги почтовой связи населению муниципалитета оказываются в полном объёме.</w:t>
      </w:r>
    </w:p>
    <w:p>
      <w:pPr>
        <w:pStyle w:val="Style81"/>
        <w:spacing w:lineRule="auto" w:line="240"/>
        <w:ind w:firstLine="709"/>
        <w:jc w:val="both"/>
        <w:rPr>
          <w:sz w:val="28"/>
          <w:szCs w:val="28"/>
        </w:rPr>
      </w:pPr>
      <w:r>
        <w:rPr>
          <w:sz w:val="28"/>
          <w:szCs w:val="28"/>
        </w:rPr>
      </w:r>
    </w:p>
    <w:p>
      <w:pPr>
        <w:pStyle w:val="Normal"/>
        <w:rPr/>
      </w:pPr>
      <w:bookmarkStart w:id="35" w:name="_Toc2237203"/>
      <w:bookmarkStart w:id="36" w:name="_Toc4405002"/>
      <w:r>
        <w:rPr/>
        <w:t>1.6. Бюджетная сфера</w:t>
      </w:r>
      <w:bookmarkEnd w:id="35"/>
      <w:bookmarkEnd w:id="36"/>
    </w:p>
    <w:p>
      <w:pPr>
        <w:pStyle w:val="Normal"/>
        <w:ind w:firstLine="709"/>
        <w:jc w:val="both"/>
        <w:rPr>
          <w:rFonts w:cs="Times New Roman"/>
          <w:sz w:val="28"/>
          <w:szCs w:val="28"/>
        </w:rPr>
      </w:pPr>
      <w:r>
        <w:rPr>
          <w:rFonts w:cs="Times New Roman"/>
          <w:sz w:val="28"/>
          <w:szCs w:val="28"/>
        </w:rPr>
        <w:t>В 2018 г. исполненные назначения доходной части бюджета Тереньгульского района составили 373 513 тыс. руб. Если подробнее рассмотреть исполнение по отдельным статьям доходов, то можно увидеть разнообразие среди полученных данных. По сравнению с 2009 г. наблюдается тенденция роста налоговых и неналоговых доходов, которые выросли на 12 955 тыс. руб. или на 24,2% и составили 66 454 тыс. руб. Наибольшая доля собственных доходов бюджета сформирована за счёт поступления налога на доходы физических лиц – 40,1%, земельного налога – 14,2% и акцизов – 15,5%. Также следует отметить, рост налоговых поступлений по специальным налоговым режимам (УСНО, ЕНВД, ЕСХН, ПСН) с 2 095,6 тыс. руб. в 2009 г. до 4 025,8 тыс. руб. в 2018 г. или на 92%.</w:t>
      </w:r>
    </w:p>
    <w:p>
      <w:pPr>
        <w:pStyle w:val="Normal"/>
        <w:ind w:firstLine="709"/>
        <w:jc w:val="both"/>
        <w:rPr>
          <w:rFonts w:cs="Times New Roman"/>
          <w:sz w:val="28"/>
          <w:szCs w:val="28"/>
        </w:rPr>
      </w:pPr>
      <w:r>
        <w:rPr>
          <w:rFonts w:cs="Times New Roman"/>
          <w:sz w:val="28"/>
          <w:szCs w:val="28"/>
        </w:rPr>
        <w:t>Ниже представлена наглядно структура доходов бюджета Тереньгульского района в динамике с 2009-2018 гг.</w:t>
      </w:r>
    </w:p>
    <w:p>
      <w:pPr>
        <w:pStyle w:val="Normal"/>
        <w:keepNext w:val="true"/>
        <w:jc w:val="center"/>
        <w:rPr>
          <w:rFonts w:cs="Times New Roman"/>
        </w:rPr>
      </w:pPr>
      <w:r>
        <w:rPr/>
        <w:drawing>
          <wp:inline distT="0" distB="0" distL="0" distR="0">
            <wp:extent cx="5939155" cy="2055495"/>
            <wp:effectExtent l="0" t="0" r="0" b="0"/>
            <wp:docPr id="3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Caption"/>
        <w:spacing w:before="0" w:after="0"/>
        <w:jc w:val="center"/>
        <w:rPr>
          <w:rFonts w:cs="Times New Roman"/>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29</w:t>
      </w:r>
      <w:r>
        <w:rPr>
          <w:sz w:val="28"/>
          <w:szCs w:val="28"/>
          <w:rFonts w:cs="Times New Roman"/>
        </w:rPr>
        <w:fldChar w:fldCharType="end"/>
      </w:r>
      <w:r>
        <w:rPr>
          <w:rFonts w:cs="Times New Roman"/>
          <w:color w:val="auto"/>
          <w:sz w:val="28"/>
          <w:szCs w:val="28"/>
        </w:rPr>
        <w:t xml:space="preserve"> – Структура доходов бюджета Тереньгульского района</w:t>
        <w:br/>
        <w:t>за 2009-2018 гг., тыс. руб.</w:t>
      </w:r>
    </w:p>
    <w:p>
      <w:pPr>
        <w:pStyle w:val="Normal"/>
        <w:tabs>
          <w:tab w:val="clear" w:pos="708"/>
          <w:tab w:val="left" w:pos="3402" w:leader="none"/>
        </w:tabs>
        <w:ind w:firstLine="709"/>
        <w:jc w:val="both"/>
        <w:rPr>
          <w:rFonts w:cs="Times New Roman"/>
          <w:spacing w:val="-4"/>
          <w:sz w:val="28"/>
          <w:szCs w:val="28"/>
        </w:rPr>
      </w:pPr>
      <w:r>
        <w:rPr>
          <w:rFonts w:cs="Times New Roman"/>
          <w:spacing w:val="-4"/>
          <w:sz w:val="28"/>
          <w:szCs w:val="28"/>
        </w:rPr>
        <w:t xml:space="preserve">Расходы бюджета Тереньгульского района с каждым годом увеличиваются: в 2009 г. расходная часть бюджета составила 265 559 тыс. руб., а в 2018 г. </w:t>
      </w:r>
      <w:r>
        <w:rPr>
          <w:rFonts w:eastAsia="Symbol" w:cs="Symbol" w:ascii="Symbol" w:hAnsi="Symbol"/>
          <w:sz w:val="28"/>
          <w:szCs w:val="20"/>
          <w:lang w:eastAsia="zh-CN"/>
        </w:rPr>
        <w:t></w:t>
      </w:r>
      <w:r>
        <w:rPr>
          <w:rFonts w:cs="Times New Roman"/>
          <w:spacing w:val="-4"/>
          <w:sz w:val="28"/>
          <w:szCs w:val="28"/>
        </w:rPr>
        <w:t xml:space="preserve"> 371 572 тыс. руб., рост на 39,9%. </w:t>
      </w:r>
      <w:r>
        <w:rPr>
          <w:rFonts w:cs="Times New Roman"/>
          <w:b/>
          <w:spacing w:val="-4"/>
          <w:sz w:val="28"/>
          <w:szCs w:val="28"/>
        </w:rPr>
        <w:t>Расходы бюджета района характеризуются ярко выраженной социальной направленностью.</w:t>
      </w:r>
      <w:r>
        <w:rPr>
          <w:rFonts w:cs="Times New Roman"/>
          <w:spacing w:val="-4"/>
          <w:sz w:val="28"/>
          <w:szCs w:val="28"/>
        </w:rPr>
        <w:t xml:space="preserve"> Основную долю в расходах бюджета в 2018 г. составили расходы по разделам: «Образование» (56,7%), «Общегосударственные вопросы» (11,8%), «Культура, кинематография» (10,3%), «Социальная политика» (6,3%), «Жилищно-коммунальное хозяйство» (5,8%). Структура расходов бюджета за 2018 г. представлена на рисунке 30.</w:t>
      </w:r>
    </w:p>
    <w:p>
      <w:pPr>
        <w:pStyle w:val="Normal"/>
        <w:keepNext w:val="true"/>
        <w:jc w:val="center"/>
        <w:rPr>
          <w:rFonts w:cs="Times New Roman"/>
        </w:rPr>
      </w:pPr>
      <w:r>
        <w:rPr/>
        <w:drawing>
          <wp:inline distT="0" distB="0" distL="0" distR="0">
            <wp:extent cx="5936615" cy="2890520"/>
            <wp:effectExtent l="0" t="0" r="0" b="0"/>
            <wp:docPr id="3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Caption"/>
        <w:spacing w:before="0" w:after="0"/>
        <w:jc w:val="center"/>
        <w:rPr>
          <w:rFonts w:cs="Times New Roman"/>
          <w:b w:val="false"/>
          <w:b w:val="false"/>
          <w:bCs w:val="false"/>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30</w:t>
      </w:r>
      <w:r>
        <w:rPr>
          <w:sz w:val="28"/>
          <w:szCs w:val="28"/>
          <w:rFonts w:cs="Times New Roman"/>
        </w:rPr>
        <w:fldChar w:fldCharType="end"/>
      </w:r>
      <w:r>
        <w:rPr>
          <w:rFonts w:cs="Times New Roman"/>
          <w:color w:val="auto"/>
          <w:sz w:val="28"/>
          <w:szCs w:val="28"/>
        </w:rPr>
        <w:t xml:space="preserve"> - Структура расходов бюджета Тереньгульского района </w:t>
        <w:br/>
        <w:t>по итогам 2018 г.</w:t>
      </w:r>
    </w:p>
    <w:p>
      <w:pPr>
        <w:pStyle w:val="Normal"/>
        <w:rPr>
          <w:rFonts w:cs="Times New Roman"/>
        </w:rPr>
      </w:pPr>
      <w:r>
        <w:rPr>
          <w:rFonts w:cs="Times New Roman"/>
        </w:rPr>
      </w:r>
    </w:p>
    <w:p>
      <w:pPr>
        <w:pStyle w:val="Normal"/>
        <w:ind w:firstLine="709"/>
        <w:jc w:val="both"/>
        <w:rPr>
          <w:rFonts w:cs="Times New Roman"/>
          <w:sz w:val="28"/>
          <w:szCs w:val="28"/>
        </w:rPr>
      </w:pPr>
      <w:r>
        <w:rPr>
          <w:rFonts w:cs="Times New Roman"/>
          <w:sz w:val="28"/>
          <w:szCs w:val="28"/>
        </w:rPr>
        <w:t xml:space="preserve">Начиная с 2014 г. осуществляется работа по внедрению принципов программно-целевого планирования. В 2019 г. реализуется 24 муниципальных программ, которые увязывают в себе стратегические и бюджетные элементы планирования. </w:t>
      </w:r>
    </w:p>
    <w:p>
      <w:pPr>
        <w:pStyle w:val="Normal"/>
        <w:ind w:firstLine="709"/>
        <w:jc w:val="both"/>
        <w:rPr>
          <w:rFonts w:cs="Times New Roman"/>
          <w:sz w:val="28"/>
          <w:szCs w:val="28"/>
          <w:lang w:eastAsia="ru-RU"/>
        </w:rPr>
      </w:pPr>
      <w:r>
        <w:rPr>
          <w:rFonts w:cs="Times New Roman"/>
          <w:sz w:val="28"/>
          <w:szCs w:val="28"/>
        </w:rPr>
        <w:t xml:space="preserve">Участие в федеральных и областных </w:t>
      </w:r>
      <w:r>
        <w:rPr>
          <w:rFonts w:cs="Times New Roman"/>
          <w:bCs/>
          <w:sz w:val="28"/>
          <w:szCs w:val="28"/>
        </w:rPr>
        <w:t>программах</w:t>
      </w:r>
      <w:r>
        <w:rPr>
          <w:rFonts w:cs="Times New Roman"/>
          <w:sz w:val="28"/>
          <w:szCs w:val="28"/>
        </w:rPr>
        <w:t xml:space="preserve"> остаётся приоритетным направлением и одним из путей привлечения финансовых ресурсов </w:t>
        <w:br/>
        <w:t>на территорию района. Общий объём финансирования расходов бюджета муниципального образования в 2018 г., охваченный муниципальными программами, составляет 135 586,8 тыс. руб., или 36,3% от общего объёма расходов консолидированного бюджета,</w:t>
      </w:r>
      <w:r>
        <w:rPr>
          <w:rFonts w:cs="Times New Roman"/>
          <w:sz w:val="28"/>
          <w:szCs w:val="28"/>
          <w:lang w:eastAsia="ru-RU"/>
        </w:rPr>
        <w:t xml:space="preserve"> в том числе:</w:t>
      </w:r>
    </w:p>
    <w:p>
      <w:pPr>
        <w:pStyle w:val="Normal"/>
        <w:shd w:val="clear" w:color="auto" w:fill="FFFFFF"/>
        <w:ind w:firstLine="709"/>
        <w:rPr>
          <w:rFonts w:cs="Times New Roman"/>
          <w:sz w:val="28"/>
          <w:szCs w:val="28"/>
          <w:lang w:eastAsia="ru-RU"/>
        </w:rPr>
      </w:pPr>
      <w:r>
        <w:rPr>
          <w:rFonts w:cs="Times New Roman"/>
          <w:sz w:val="28"/>
          <w:szCs w:val="28"/>
          <w:lang w:eastAsia="ru-RU"/>
        </w:rPr>
        <w:t>- федеральный бюджет – 2 599,5 тыс. руб.;</w:t>
      </w:r>
    </w:p>
    <w:p>
      <w:pPr>
        <w:pStyle w:val="Normal"/>
        <w:shd w:val="clear" w:color="auto" w:fill="FFFFFF"/>
        <w:ind w:firstLine="709"/>
        <w:rPr>
          <w:rFonts w:cs="Times New Roman"/>
          <w:sz w:val="28"/>
          <w:szCs w:val="28"/>
          <w:lang w:eastAsia="ru-RU"/>
        </w:rPr>
      </w:pPr>
      <w:r>
        <w:rPr>
          <w:rFonts w:cs="Times New Roman"/>
          <w:sz w:val="28"/>
          <w:szCs w:val="28"/>
          <w:lang w:eastAsia="ru-RU"/>
        </w:rPr>
        <w:t>- областной бюджет – 26 913,2 тыс. руб.;</w:t>
      </w:r>
    </w:p>
    <w:p>
      <w:pPr>
        <w:pStyle w:val="Normal"/>
        <w:shd w:val="clear" w:color="auto" w:fill="FFFFFF"/>
        <w:ind w:firstLine="709"/>
        <w:rPr>
          <w:rFonts w:cs="Times New Roman"/>
          <w:sz w:val="28"/>
          <w:szCs w:val="28"/>
          <w:lang w:eastAsia="ru-RU"/>
        </w:rPr>
      </w:pPr>
      <w:r>
        <w:rPr>
          <w:rFonts w:cs="Times New Roman"/>
          <w:sz w:val="28"/>
          <w:szCs w:val="28"/>
          <w:lang w:eastAsia="ru-RU"/>
        </w:rPr>
        <w:t>- местный бюджет – 106 074,1тыс. руб.</w:t>
      </w:r>
    </w:p>
    <w:p>
      <w:pPr>
        <w:pStyle w:val="Normal"/>
        <w:ind w:firstLine="709"/>
        <w:jc w:val="both"/>
        <w:rPr>
          <w:rFonts w:cs="Times New Roman"/>
          <w:sz w:val="28"/>
          <w:szCs w:val="28"/>
        </w:rPr>
      </w:pPr>
      <w:r>
        <w:rPr>
          <w:rFonts w:cs="Times New Roman"/>
          <w:sz w:val="28"/>
          <w:szCs w:val="28"/>
        </w:rPr>
        <w:t>Также в целях создания условий для повышения эффективности и результативности реализации основных направлений Стратегии социально-экономического развития Тереньгульского района до 2030 г. в систему муниципального управления района с 2017 г. внедрены методы и принципы проектного управления. Для экспертного рассмотрения проектов, инициированных по профильной принадлежности, функционирует Совет по реформам и приоритетным проектам при Главе администрации Тереньгульского района. Необходимо отметить, что по состоянию на 01.01.2019 г. на территории района реализуется 3 проекта: создание современной образовательной среды для школьников, потребительская кооперация и пятилетка благоустройства.</w:t>
      </w:r>
    </w:p>
    <w:p>
      <w:pPr>
        <w:pStyle w:val="Normal"/>
        <w:ind w:firstLine="709"/>
        <w:jc w:val="both"/>
        <w:rPr>
          <w:rFonts w:cs="Times New Roman"/>
          <w:sz w:val="28"/>
          <w:szCs w:val="28"/>
          <w:highlight w:val="yellow"/>
        </w:rPr>
      </w:pPr>
      <w:r>
        <w:rPr>
          <w:rFonts w:cs="Times New Roman"/>
          <w:sz w:val="28"/>
          <w:szCs w:val="28"/>
        </w:rPr>
        <w:t xml:space="preserve">Кроме того, одним из приоритетных направлений роста бюджетной обеспеченности в настоящее время является противодействие «теневому» сектору экономики. В настоящее время утверждена дорожная карта на 2019 г., </w:t>
        <w:br/>
        <w:t>в которой отражены первоочередные действия по данному направлению. Ожидаемый экономический эффект от мероприятий, проведённых в 2018 г., составляет 544,8 тыс. руб.</w:t>
      </w:r>
    </w:p>
    <w:p>
      <w:pPr>
        <w:pStyle w:val="Normal"/>
        <w:ind w:firstLine="709"/>
        <w:jc w:val="both"/>
        <w:rPr>
          <w:rFonts w:cs="Times New Roman"/>
          <w:sz w:val="28"/>
          <w:szCs w:val="28"/>
        </w:rPr>
      </w:pPr>
      <w:r>
        <w:rPr>
          <w:rFonts w:cs="Times New Roman"/>
          <w:sz w:val="28"/>
          <w:szCs w:val="28"/>
        </w:rPr>
        <w:t>Ниже приведены данные по основным показателям, характеризующим развитие бюджетного потенциала в Тереньгульском районе.</w:t>
      </w:r>
    </w:p>
    <w:p>
      <w:pPr>
        <w:pStyle w:val="Caption"/>
        <w:keepNext w:val="true"/>
        <w:spacing w:before="120" w:after="120"/>
        <w:jc w:val="center"/>
        <w:rPr>
          <w:rFonts w:cs="Times New Roman"/>
          <w:color w:val="auto"/>
          <w:sz w:val="28"/>
          <w:szCs w:val="28"/>
        </w:rPr>
      </w:pPr>
      <w:r>
        <w:rPr>
          <w:rFonts w:cs="Times New Roman"/>
          <w:color w:val="auto"/>
          <w:sz w:val="28"/>
          <w:szCs w:val="28"/>
        </w:rPr>
        <w:t xml:space="preserve">Таблица 6 - Показатели, характеризующие развитие бюджетного </w:t>
        <w:br/>
        <w:t>потенциала в Тереньгульском районе, тыс. руб.</w:t>
      </w:r>
    </w:p>
    <w:tbl>
      <w:tblPr>
        <w:tblW w:w="5000" w:type="pct"/>
        <w:jc w:val="left"/>
        <w:tblInd w:w="0" w:type="dxa"/>
        <w:tblCellMar>
          <w:top w:w="0" w:type="dxa"/>
          <w:left w:w="108" w:type="dxa"/>
          <w:bottom w:w="0" w:type="dxa"/>
          <w:right w:w="108" w:type="dxa"/>
        </w:tblCellMar>
        <w:tblLook w:noVBand="1" w:val="04a0" w:noHBand="0" w:lastColumn="0" w:firstColumn="1" w:lastRow="0" w:firstRow="1"/>
      </w:tblPr>
      <w:tblGrid>
        <w:gridCol w:w="3356"/>
        <w:gridCol w:w="1056"/>
        <w:gridCol w:w="1054"/>
        <w:gridCol w:w="1054"/>
        <w:gridCol w:w="1055"/>
        <w:gridCol w:w="1054"/>
        <w:gridCol w:w="1008"/>
      </w:tblGrid>
      <w:tr>
        <w:trPr>
          <w:trHeight w:val="60"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Наименование показателя</w:t>
            </w:r>
          </w:p>
        </w:tc>
        <w:tc>
          <w:tcPr>
            <w:tcW w:w="10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 xml:space="preserve">2009 </w:t>
            </w:r>
          </w:p>
        </w:tc>
        <w:tc>
          <w:tcPr>
            <w:tcW w:w="10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 xml:space="preserve">2014 </w:t>
            </w:r>
          </w:p>
        </w:tc>
        <w:tc>
          <w:tcPr>
            <w:tcW w:w="10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2015</w:t>
            </w:r>
          </w:p>
        </w:tc>
        <w:tc>
          <w:tcPr>
            <w:tcW w:w="10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2016</w:t>
            </w:r>
          </w:p>
        </w:tc>
        <w:tc>
          <w:tcPr>
            <w:tcW w:w="10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2017</w:t>
            </w:r>
          </w:p>
        </w:tc>
        <w:tc>
          <w:tcPr>
            <w:tcW w:w="10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2018</w:t>
            </w:r>
          </w:p>
        </w:tc>
      </w:tr>
      <w:tr>
        <w:trPr>
          <w:trHeight w:val="960"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Поступление налоговых платежей в консолидированный бюджет Ульяновской области с территории МО</w:t>
            </w:r>
          </w:p>
        </w:tc>
        <w:tc>
          <w:tcPr>
            <w:tcW w:w="10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н/д</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96 979</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100 339</w:t>
            </w:r>
          </w:p>
        </w:tc>
        <w:tc>
          <w:tcPr>
            <w:tcW w:w="105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115 500</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111 361</w:t>
            </w:r>
          </w:p>
        </w:tc>
        <w:tc>
          <w:tcPr>
            <w:tcW w:w="10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36"/>
              </w:rPr>
              <w:t>131 064</w:t>
            </w:r>
          </w:p>
        </w:tc>
      </w:tr>
      <w:tr>
        <w:trPr>
          <w:trHeight w:val="60"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Доходы бюджет, в т.ч.:</w:t>
            </w:r>
          </w:p>
        </w:tc>
        <w:tc>
          <w:tcPr>
            <w:tcW w:w="10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256 669</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306 674</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278 360</w:t>
            </w:r>
          </w:p>
        </w:tc>
        <w:tc>
          <w:tcPr>
            <w:tcW w:w="105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306 387</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334 236</w:t>
            </w:r>
          </w:p>
        </w:tc>
        <w:tc>
          <w:tcPr>
            <w:tcW w:w="10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373 513</w:t>
            </w:r>
          </w:p>
        </w:tc>
      </w:tr>
      <w:tr>
        <w:trPr>
          <w:trHeight w:val="126"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284" w:hanging="0"/>
              <w:jc w:val="both"/>
              <w:rPr>
                <w:rFonts w:cs="Times New Roman"/>
                <w:sz w:val="22"/>
                <w:szCs w:val="22"/>
                <w:lang w:eastAsia="ru-RU"/>
              </w:rPr>
            </w:pPr>
            <w:r>
              <w:rPr>
                <w:rFonts w:cs="Times New Roman"/>
                <w:sz w:val="22"/>
                <w:szCs w:val="22"/>
                <w:lang w:eastAsia="ru-RU"/>
              </w:rPr>
              <w:t>Безвозмездные перечисления</w:t>
            </w:r>
          </w:p>
        </w:tc>
        <w:tc>
          <w:tcPr>
            <w:tcW w:w="10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203 169</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250 662</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217 946</w:t>
            </w:r>
          </w:p>
        </w:tc>
        <w:tc>
          <w:tcPr>
            <w:tcW w:w="105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245 711</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271 712</w:t>
            </w:r>
          </w:p>
        </w:tc>
        <w:tc>
          <w:tcPr>
            <w:tcW w:w="10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307 059</w:t>
            </w:r>
          </w:p>
        </w:tc>
      </w:tr>
      <w:tr>
        <w:trPr>
          <w:trHeight w:val="441"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284" w:hanging="0"/>
              <w:jc w:val="both"/>
              <w:rPr>
                <w:rFonts w:cs="Times New Roman"/>
                <w:sz w:val="22"/>
                <w:szCs w:val="22"/>
                <w:lang w:eastAsia="ru-RU"/>
              </w:rPr>
            </w:pPr>
            <w:r>
              <w:rPr>
                <w:rFonts w:cs="Times New Roman"/>
                <w:sz w:val="22"/>
                <w:szCs w:val="22"/>
                <w:lang w:eastAsia="ru-RU"/>
              </w:rPr>
              <w:t>Налоговые и неналоговые доходы, зачисляемые</w:t>
            </w:r>
          </w:p>
        </w:tc>
        <w:tc>
          <w:tcPr>
            <w:tcW w:w="10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53 499</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56 186</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60 413</w:t>
            </w:r>
          </w:p>
        </w:tc>
        <w:tc>
          <w:tcPr>
            <w:tcW w:w="105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60 676</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62 439</w:t>
            </w:r>
          </w:p>
        </w:tc>
        <w:tc>
          <w:tcPr>
            <w:tcW w:w="10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66 454</w:t>
            </w:r>
          </w:p>
        </w:tc>
      </w:tr>
      <w:tr>
        <w:trPr>
          <w:trHeight w:val="140"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Расходы бюджета</w:t>
            </w:r>
          </w:p>
        </w:tc>
        <w:tc>
          <w:tcPr>
            <w:tcW w:w="10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265 559</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307 406</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273 873</w:t>
            </w:r>
          </w:p>
        </w:tc>
        <w:tc>
          <w:tcPr>
            <w:tcW w:w="105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307 786</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337 263</w:t>
            </w:r>
          </w:p>
        </w:tc>
        <w:tc>
          <w:tcPr>
            <w:tcW w:w="10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371 572</w:t>
            </w:r>
          </w:p>
        </w:tc>
      </w:tr>
      <w:tr>
        <w:trPr>
          <w:trHeight w:val="132"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Бюджетная обеспеченность на 1 жителя</w:t>
            </w:r>
          </w:p>
        </w:tc>
        <w:tc>
          <w:tcPr>
            <w:tcW w:w="10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13,9</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17,0</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15,3</w:t>
            </w:r>
          </w:p>
        </w:tc>
        <w:tc>
          <w:tcPr>
            <w:tcW w:w="105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17,3</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19,4</w:t>
            </w:r>
          </w:p>
        </w:tc>
        <w:tc>
          <w:tcPr>
            <w:tcW w:w="10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21,3</w:t>
            </w:r>
          </w:p>
        </w:tc>
      </w:tr>
      <w:tr>
        <w:trPr>
          <w:trHeight w:val="562"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cs="Times New Roman"/>
                <w:spacing w:val="-2"/>
                <w:sz w:val="22"/>
                <w:szCs w:val="22"/>
                <w:lang w:eastAsia="ru-RU"/>
              </w:rPr>
            </w:pPr>
            <w:r>
              <w:rPr>
                <w:rFonts w:cs="Times New Roman"/>
                <w:spacing w:val="-2"/>
                <w:sz w:val="22"/>
                <w:szCs w:val="22"/>
                <w:lang w:eastAsia="ru-RU"/>
              </w:rPr>
              <w:t>Доля собственных налоговых и неналоговых доходов бюджета МО в доходах бюджета МО, за исключением субвенций,%</w:t>
            </w:r>
          </w:p>
        </w:tc>
        <w:tc>
          <w:tcPr>
            <w:tcW w:w="10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28,7</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28,3</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23,7</w:t>
            </w:r>
          </w:p>
        </w:tc>
        <w:tc>
          <w:tcPr>
            <w:tcW w:w="105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37,6</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33,1</w:t>
            </w:r>
          </w:p>
        </w:tc>
        <w:tc>
          <w:tcPr>
            <w:tcW w:w="10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30,1</w:t>
            </w:r>
          </w:p>
        </w:tc>
      </w:tr>
      <w:tr>
        <w:trPr>
          <w:trHeight w:val="60" w:hRule="atLeast"/>
        </w:trPr>
        <w:tc>
          <w:tcPr>
            <w:tcW w:w="335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бюджета МО (без учёта субвенций),%</w:t>
            </w:r>
          </w:p>
        </w:tc>
        <w:tc>
          <w:tcPr>
            <w:tcW w:w="10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40,2</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39,5</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31,0</w:t>
            </w:r>
          </w:p>
        </w:tc>
        <w:tc>
          <w:tcPr>
            <w:tcW w:w="105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60,2</w:t>
            </w:r>
          </w:p>
        </w:tc>
        <w:tc>
          <w:tcPr>
            <w:tcW w:w="105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49,5</w:t>
            </w:r>
          </w:p>
        </w:tc>
        <w:tc>
          <w:tcPr>
            <w:tcW w:w="100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43,1</w:t>
            </w:r>
          </w:p>
        </w:tc>
      </w:tr>
    </w:tbl>
    <w:p>
      <w:pPr>
        <w:pStyle w:val="Normal"/>
        <w:rPr/>
      </w:pPr>
      <w:r>
        <w:rPr/>
      </w:r>
    </w:p>
    <w:p>
      <w:pPr>
        <w:pStyle w:val="Normal"/>
        <w:tabs>
          <w:tab w:val="clear" w:pos="708"/>
          <w:tab w:val="right" w:pos="260" w:leader="none"/>
        </w:tabs>
        <w:ind w:firstLine="709"/>
        <w:jc w:val="both"/>
        <w:textAlignment w:val="center"/>
        <w:rPr>
          <w:rFonts w:cs="Times New Roman"/>
          <w:sz w:val="28"/>
          <w:szCs w:val="28"/>
        </w:rPr>
      </w:pPr>
      <w:r>
        <w:rPr>
          <w:rFonts w:cs="Times New Roman"/>
          <w:bCs/>
          <w:sz w:val="28"/>
          <w:szCs w:val="28"/>
        </w:rPr>
        <w:t>Таким образом, учитывая перспективность развития инвестиционной деятельности в Тереньгульском районе, следует ожидать рост поступлений в местный бюджет от сбора налога на доходы физических лиц и земельного налога, а также за счёт предпринимаемых мер по противодействию развития «теневой» экономики. Кроме того, одним из резервов роста бюджетной обеспеченности является привлечение федеральных средств путём участия в федеральных проектах и программах.</w:t>
      </w:r>
    </w:p>
    <w:p>
      <w:pPr>
        <w:pStyle w:val="Style81"/>
        <w:spacing w:lineRule="auto" w:line="240"/>
        <w:ind w:firstLine="709"/>
        <w:jc w:val="both"/>
        <w:rPr>
          <w:sz w:val="28"/>
          <w:szCs w:val="28"/>
        </w:rPr>
      </w:pPr>
      <w:r>
        <w:rPr>
          <w:sz w:val="28"/>
          <w:szCs w:val="28"/>
        </w:rPr>
      </w:r>
    </w:p>
    <w:p>
      <w:pPr>
        <w:pStyle w:val="Normal"/>
        <w:rPr/>
      </w:pPr>
      <w:bookmarkStart w:id="37" w:name="_Toc2237204"/>
      <w:bookmarkStart w:id="38" w:name="_Toc4405003"/>
      <w:r>
        <w:rPr>
          <w:shd w:fill="FFFFFF" w:val="clear"/>
        </w:rPr>
        <w:t>1.7. Состояние безопасности жизни и имущества граждан</w:t>
      </w:r>
      <w:bookmarkEnd w:id="37"/>
      <w:bookmarkEnd w:id="38"/>
    </w:p>
    <w:p>
      <w:pPr>
        <w:pStyle w:val="Normal"/>
        <w:ind w:firstLine="709"/>
        <w:jc w:val="both"/>
        <w:rPr>
          <w:rFonts w:cs="Times New Roman"/>
          <w:spacing w:val="2"/>
          <w:sz w:val="28"/>
          <w:szCs w:val="28"/>
          <w:highlight w:val="white"/>
        </w:rPr>
      </w:pPr>
      <w:r>
        <w:rPr>
          <w:rFonts w:cs="Times New Roman"/>
          <w:spacing w:val="2"/>
          <w:sz w:val="28"/>
          <w:szCs w:val="28"/>
          <w:shd w:fill="FFFFFF" w:val="clear"/>
        </w:rPr>
        <w:t>Сфера обеспечения безопасности жизнедеятельности населения области является комплексной и включает в себя несколько направлений: обеспечение пожарной безопасности, снижение рисков и смягчение последствий чрезвычайных ситуаций природного и техногенного характера, совершенствование гражданской обороны.</w:t>
      </w:r>
    </w:p>
    <w:p>
      <w:pPr>
        <w:pStyle w:val="Normal"/>
        <w:ind w:firstLine="709"/>
        <w:jc w:val="both"/>
        <w:rPr>
          <w:rFonts w:cs="Times New Roman"/>
          <w:spacing w:val="2"/>
          <w:sz w:val="28"/>
          <w:szCs w:val="28"/>
          <w:highlight w:val="white"/>
        </w:rPr>
      </w:pPr>
      <w:r>
        <w:rPr>
          <w:rFonts w:cs="Times New Roman"/>
          <w:spacing w:val="2"/>
          <w:sz w:val="28"/>
          <w:szCs w:val="28"/>
          <w:shd w:fill="FFFFFF" w:val="clear"/>
        </w:rPr>
        <w:t>За период 2008-2018 гг. на территории Тереньгульского района отмечено более 470 случаев пожара. Наибольше их количество произошло</w:t>
        <w:br/>
        <w:t>в 2009 г. и 2010 г. – 55 и 82 случая соответственно, что обусловлено,</w:t>
        <w:br/>
        <w:t>в первую очередь, сильной жарой и засухой того периода (была объявлена чрезвычайная ситуация регионального характера). В 2018 г. на территории Тереньгульского района зафиксирован 41 пожар, в результате которого</w:t>
        <w:br/>
        <w:t>4 человека пострадали и 1 погиб. По сравнению с 2008 г. число пострадавших и погибших в результате пожаров сократилось в 1,5 и 4 раза соответственно. Улучшению пожарной безопасности поспособствовало открытие на территории Тереньгульского района дополнительных пунктов пожарной охраны с. Краноборск (2010 г.), с. Подкуровка (2013 г.) и с. Елшанка (2017 г.).</w:t>
      </w:r>
    </w:p>
    <w:p>
      <w:pPr>
        <w:pStyle w:val="Normal"/>
        <w:keepNext w:val="true"/>
        <w:jc w:val="both"/>
        <w:rPr>
          <w:rFonts w:cs="Times New Roman"/>
        </w:rPr>
      </w:pPr>
      <w:r>
        <w:rPr/>
        <w:drawing>
          <wp:inline distT="0" distB="0" distL="0" distR="0">
            <wp:extent cx="6027420" cy="3442970"/>
            <wp:effectExtent l="0" t="0" r="0" b="0"/>
            <wp:docPr id="3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Normal"/>
        <w:spacing w:before="120" w:after="0"/>
        <w:jc w:val="center"/>
        <w:rPr>
          <w:rFonts w:cs="Times New Roman"/>
          <w:b/>
          <w:b/>
          <w:spacing w:val="2"/>
          <w:sz w:val="28"/>
          <w:szCs w:val="32"/>
          <w:highlight w:val="white"/>
        </w:rPr>
      </w:pPr>
      <w:r>
        <w:rPr>
          <w:rFonts w:cs="Times New Roman"/>
          <w:b/>
          <w:sz w:val="28"/>
          <w:szCs w:val="32"/>
        </w:rPr>
        <w:t xml:space="preserve">Рисунок </w:t>
      </w:r>
      <w:r>
        <w:rPr>
          <w:rFonts w:cs="Times New Roman"/>
          <w:b/>
          <w:sz w:val="28"/>
          <w:szCs w:val="32"/>
        </w:rPr>
        <w:fldChar w:fldCharType="begin"/>
      </w:r>
      <w:r>
        <w:rPr>
          <w:sz w:val="28"/>
          <w:b/>
          <w:szCs w:val="32"/>
          <w:rFonts w:cs="Times New Roman"/>
        </w:rPr>
        <w:instrText> SEQ Рисунок \* ARABIC </w:instrText>
      </w:r>
      <w:r>
        <w:rPr>
          <w:sz w:val="28"/>
          <w:b/>
          <w:szCs w:val="32"/>
          <w:rFonts w:cs="Times New Roman"/>
        </w:rPr>
        <w:fldChar w:fldCharType="separate"/>
      </w:r>
      <w:r>
        <w:rPr>
          <w:sz w:val="28"/>
          <w:b/>
          <w:szCs w:val="32"/>
          <w:rFonts w:cs="Times New Roman"/>
        </w:rPr>
        <w:t>31</w:t>
      </w:r>
      <w:r>
        <w:rPr>
          <w:sz w:val="28"/>
          <w:b/>
          <w:szCs w:val="32"/>
          <w:rFonts w:cs="Times New Roman"/>
        </w:rPr>
        <w:fldChar w:fldCharType="end"/>
      </w:r>
      <w:r>
        <w:rPr>
          <w:rFonts w:cs="Times New Roman"/>
          <w:b/>
          <w:sz w:val="28"/>
          <w:szCs w:val="32"/>
        </w:rPr>
        <w:t xml:space="preserve"> - </w:t>
      </w:r>
      <w:r>
        <w:rPr>
          <w:rFonts w:cs="Times New Roman"/>
          <w:b/>
          <w:spacing w:val="2"/>
          <w:sz w:val="28"/>
          <w:szCs w:val="32"/>
          <w:shd w:fill="FFFFFF" w:val="clear"/>
        </w:rPr>
        <w:t>Динамика показателей состояния системы обеспечения пожарной безопасности Тереньгульского района за 2008-2018 гг.</w:t>
      </w:r>
    </w:p>
    <w:p>
      <w:pPr>
        <w:pStyle w:val="Normal"/>
        <w:ind w:firstLine="709"/>
        <w:jc w:val="both"/>
        <w:rPr>
          <w:rFonts w:cs="Times New Roman"/>
          <w:spacing w:val="2"/>
          <w:sz w:val="28"/>
          <w:szCs w:val="28"/>
          <w:highlight w:val="white"/>
        </w:rPr>
      </w:pPr>
      <w:r>
        <w:rPr>
          <w:rFonts w:cs="Times New Roman"/>
          <w:spacing w:val="2"/>
          <w:sz w:val="28"/>
          <w:szCs w:val="28"/>
          <w:highlight w:val="white"/>
        </w:rPr>
      </w:r>
    </w:p>
    <w:p>
      <w:pPr>
        <w:pStyle w:val="Normal"/>
        <w:ind w:firstLine="709"/>
        <w:jc w:val="both"/>
        <w:rPr>
          <w:rFonts w:cs="Times New Roman"/>
          <w:spacing w:val="2"/>
          <w:sz w:val="28"/>
          <w:szCs w:val="28"/>
          <w:highlight w:val="white"/>
        </w:rPr>
      </w:pPr>
      <w:r>
        <w:rPr>
          <w:rFonts w:cs="Times New Roman"/>
          <w:spacing w:val="2"/>
          <w:sz w:val="28"/>
          <w:szCs w:val="28"/>
          <w:shd w:fill="FFFFFF" w:val="clear"/>
        </w:rPr>
        <w:t>Оперативная обстановка Тереньгульского района характеризуется снижением общего числа зарегистрированных преступлений. В 2018 г.</w:t>
        <w:br/>
        <w:t>по сравнению с 2008 г. их количество снизилось на 56%. Вместе с тем,</w:t>
        <w:br/>
        <w:t>в 9 раз снизилось количество преступлений, совершенных в состоянии алкогольного опьянения. Противоположная ситуация сложилась с уличными преступлениями. По сравнению с 2008 г. их количество возросло с 4 до 32 случаев.</w:t>
      </w:r>
    </w:p>
    <w:p>
      <w:pPr>
        <w:pStyle w:val="Normal"/>
        <w:jc w:val="center"/>
        <w:rPr>
          <w:rFonts w:cs="Times New Roman"/>
          <w:b/>
          <w:b/>
          <w:sz w:val="28"/>
          <w:szCs w:val="28"/>
        </w:rPr>
      </w:pPr>
      <w:r>
        <w:rPr>
          <w:rFonts w:cs="Times New Roman"/>
          <w:b/>
          <w:sz w:val="28"/>
          <w:szCs w:val="28"/>
        </w:rPr>
      </w:r>
    </w:p>
    <w:p>
      <w:pPr>
        <w:pStyle w:val="Normal"/>
        <w:spacing w:before="0" w:after="120"/>
        <w:jc w:val="center"/>
        <w:rPr>
          <w:rFonts w:cs="Times New Roman"/>
        </w:rPr>
      </w:pPr>
      <w:r>
        <w:rPr>
          <w:rFonts w:cs="Times New Roman"/>
          <w:b/>
          <w:sz w:val="28"/>
          <w:szCs w:val="28"/>
        </w:rPr>
        <w:t xml:space="preserve">Таблица </w:t>
      </w:r>
      <w:r>
        <w:rPr>
          <w:rFonts w:cs="Times New Roman"/>
          <w:b/>
          <w:sz w:val="28"/>
          <w:szCs w:val="28"/>
        </w:rPr>
        <w:fldChar w:fldCharType="begin"/>
      </w:r>
      <w:r>
        <w:rPr>
          <w:sz w:val="28"/>
          <w:b/>
          <w:szCs w:val="28"/>
          <w:rFonts w:cs="Times New Roman"/>
        </w:rPr>
        <w:instrText> SEQ Таблица \* ARABIC </w:instrText>
      </w:r>
      <w:r>
        <w:rPr>
          <w:sz w:val="28"/>
          <w:b/>
          <w:szCs w:val="28"/>
          <w:rFonts w:cs="Times New Roman"/>
        </w:rPr>
        <w:fldChar w:fldCharType="separate"/>
      </w:r>
      <w:r>
        <w:rPr>
          <w:sz w:val="28"/>
          <w:b/>
          <w:szCs w:val="28"/>
          <w:rFonts w:cs="Times New Roman"/>
        </w:rPr>
        <w:t>20</w:t>
      </w:r>
      <w:r>
        <w:rPr>
          <w:sz w:val="28"/>
          <w:b/>
          <w:szCs w:val="28"/>
          <w:rFonts w:cs="Times New Roman"/>
        </w:rPr>
        <w:fldChar w:fldCharType="end"/>
      </w:r>
      <w:r>
        <w:rPr>
          <w:rFonts w:cs="Times New Roman"/>
          <w:b/>
          <w:sz w:val="28"/>
          <w:szCs w:val="28"/>
        </w:rPr>
        <w:t xml:space="preserve"> - Уровень</w:t>
      </w:r>
      <w:r>
        <w:rPr>
          <w:rFonts w:cs="Times New Roman"/>
          <w:b/>
          <w:spacing w:val="2"/>
          <w:sz w:val="28"/>
          <w:szCs w:val="28"/>
          <w:shd w:fill="FFFFFF" w:val="clear"/>
        </w:rPr>
        <w:t xml:space="preserve"> преступности на территории</w:t>
        <w:br/>
        <w:t>Тереньгульского района за 2008-2018 гг.</w:t>
      </w:r>
    </w:p>
    <w:tbl>
      <w:tblPr>
        <w:tblW w:w="5000" w:type="pct"/>
        <w:jc w:val="left"/>
        <w:tblInd w:w="0" w:type="dxa"/>
        <w:tblCellMar>
          <w:top w:w="0" w:type="dxa"/>
          <w:left w:w="108" w:type="dxa"/>
          <w:bottom w:w="0" w:type="dxa"/>
          <w:right w:w="108" w:type="dxa"/>
        </w:tblCellMar>
        <w:tblLook w:noVBand="1" w:val="04a0" w:noHBand="0" w:lastColumn="0" w:firstColumn="1" w:lastRow="0" w:firstRow="1"/>
      </w:tblPr>
      <w:tblGrid>
        <w:gridCol w:w="2048"/>
        <w:gridCol w:w="693"/>
        <w:gridCol w:w="693"/>
        <w:gridCol w:w="694"/>
        <w:gridCol w:w="692"/>
        <w:gridCol w:w="694"/>
        <w:gridCol w:w="692"/>
        <w:gridCol w:w="693"/>
        <w:gridCol w:w="694"/>
        <w:gridCol w:w="692"/>
        <w:gridCol w:w="695"/>
        <w:gridCol w:w="657"/>
      </w:tblGrid>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cs="Times New Roman"/>
                <w:b/>
                <w:b/>
                <w:spacing w:val="-6"/>
                <w:sz w:val="22"/>
                <w:szCs w:val="22"/>
                <w:lang w:eastAsia="ru-RU"/>
              </w:rPr>
            </w:pPr>
            <w:r>
              <w:rPr>
                <w:rFonts w:cs="Times New Roman"/>
                <w:b/>
                <w:spacing w:val="-6"/>
                <w:sz w:val="22"/>
                <w:szCs w:val="22"/>
                <w:lang w:eastAsia="ru-RU"/>
              </w:rPr>
              <w:t>Наименование показателя</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2008</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2009</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2010</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2011</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2012</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2013</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2014</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2015</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2016</w:t>
            </w:r>
          </w:p>
        </w:tc>
        <w:tc>
          <w:tcPr>
            <w:tcW w:w="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2017</w:t>
            </w:r>
          </w:p>
        </w:tc>
        <w:tc>
          <w:tcPr>
            <w:tcW w:w="6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2018</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Число зареги</w:t>
              <w:softHyphen/>
              <w:t>стрированных преступлений, ед., из них:</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371</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369</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323</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326</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291</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290</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310</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311</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253</w:t>
            </w:r>
          </w:p>
        </w:tc>
        <w:tc>
          <w:tcPr>
            <w:tcW w:w="69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214</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238</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Преступления, совершенные в состоянии алкогольного опьянения, ед.</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93</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58</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101</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106</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134</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112</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96</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96</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94</w:t>
            </w:r>
          </w:p>
        </w:tc>
        <w:tc>
          <w:tcPr>
            <w:tcW w:w="69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9</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10</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Уличные пре</w:t>
              <w:softHyphen/>
              <w:t>ступления, ед.</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4</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34</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53</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53</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57</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57</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57</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49</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50</w:t>
            </w:r>
          </w:p>
        </w:tc>
        <w:tc>
          <w:tcPr>
            <w:tcW w:w="69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30</w:t>
            </w:r>
          </w:p>
        </w:tc>
        <w:tc>
          <w:tcPr>
            <w:tcW w:w="65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32</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Выявлено лиц, совершивших преступления, чел.</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226</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222</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159</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164</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173</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179</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165</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187</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137</w:t>
            </w:r>
          </w:p>
        </w:tc>
        <w:tc>
          <w:tcPr>
            <w:tcW w:w="6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130</w:t>
            </w:r>
          </w:p>
        </w:tc>
        <w:tc>
          <w:tcPr>
            <w:tcW w:w="65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140</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Число несо</w:t>
              <w:softHyphen/>
              <w:t>вершеннолетних лиц, совершивших преступления, чел.</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17</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22</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12</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11</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13</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14</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16</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9</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w:t>
            </w:r>
          </w:p>
        </w:tc>
        <w:tc>
          <w:tcPr>
            <w:tcW w:w="6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10</w:t>
            </w:r>
          </w:p>
        </w:tc>
        <w:tc>
          <w:tcPr>
            <w:tcW w:w="65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9</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Число лиц, не имеющих постоянного источника дохода, совершивших пре</w:t>
              <w:softHyphen/>
              <w:t>ступления, чел.</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н/д</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н/д</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123</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125</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133</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143</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123</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148</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113</w:t>
            </w:r>
          </w:p>
        </w:tc>
        <w:tc>
          <w:tcPr>
            <w:tcW w:w="6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н/д</w:t>
            </w:r>
          </w:p>
        </w:tc>
        <w:tc>
          <w:tcPr>
            <w:tcW w:w="65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н/д</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Доля раскрытых преступлений, %</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75,8</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67,5</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63,2</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63,1</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70,0</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68</w:t>
            </w:r>
          </w:p>
        </w:tc>
        <w:tc>
          <w:tcPr>
            <w:tcW w:w="6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65,5</w:t>
            </w:r>
          </w:p>
        </w:tc>
        <w:tc>
          <w:tcPr>
            <w:tcW w:w="69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63</w:t>
            </w:r>
          </w:p>
        </w:tc>
        <w:tc>
          <w:tcPr>
            <w:tcW w:w="6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57</w:t>
            </w:r>
          </w:p>
        </w:tc>
        <w:tc>
          <w:tcPr>
            <w:tcW w:w="6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75,7</w:t>
            </w:r>
          </w:p>
        </w:tc>
        <w:tc>
          <w:tcPr>
            <w:tcW w:w="65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cs="Times New Roman"/>
                <w:sz w:val="22"/>
                <w:szCs w:val="22"/>
              </w:rPr>
            </w:pPr>
            <w:r>
              <w:rPr>
                <w:rFonts w:cs="Times New Roman"/>
                <w:sz w:val="22"/>
                <w:szCs w:val="22"/>
              </w:rPr>
              <w:t>70,0</w:t>
            </w:r>
          </w:p>
        </w:tc>
      </w:tr>
    </w:tbl>
    <w:p>
      <w:pPr>
        <w:pStyle w:val="Normal"/>
        <w:ind w:firstLine="709"/>
        <w:jc w:val="both"/>
        <w:rPr>
          <w:rFonts w:cs="Times New Roman"/>
          <w:spacing w:val="2"/>
          <w:sz w:val="28"/>
          <w:szCs w:val="28"/>
          <w:highlight w:val="white"/>
          <w:lang w:val="en-US"/>
        </w:rPr>
      </w:pPr>
      <w:r>
        <w:rPr>
          <w:rFonts w:cs="Times New Roman"/>
          <w:spacing w:val="2"/>
          <w:sz w:val="28"/>
          <w:szCs w:val="28"/>
          <w:highlight w:val="white"/>
          <w:lang w:val="en-US"/>
        </w:rPr>
      </w:r>
    </w:p>
    <w:p>
      <w:pPr>
        <w:pStyle w:val="Normal"/>
        <w:ind w:firstLine="709"/>
        <w:jc w:val="both"/>
        <w:rPr>
          <w:rFonts w:cs="Times New Roman"/>
          <w:spacing w:val="2"/>
          <w:sz w:val="28"/>
          <w:szCs w:val="28"/>
          <w:highlight w:val="white"/>
        </w:rPr>
      </w:pPr>
      <w:r>
        <w:rPr>
          <w:rFonts w:cs="Times New Roman"/>
          <w:spacing w:val="2"/>
          <w:sz w:val="28"/>
          <w:szCs w:val="28"/>
          <w:shd w:fill="FFFFFF" w:val="clear"/>
        </w:rPr>
        <w:t xml:space="preserve">Влияние на уровень и структуру преступности продолжают оказывать социально-экономические факторы: рост цен на услуги и товары, высокая актуализация проблем снижения уровня жизни и покупательской способности и т.д. Так, в числе выявленных лиц, совершивших преступления, по-прежнему, подавляющее большинство составляют граждане, не имеющие постоянного источника дохода, их доля составляет более 70%. Улучшилась ситуация, связанная с совершением преступлений несовершеннолетними лицами. Если в 2008 г. их численность составляла 17 человек, то в 2018 г. </w:t>
      </w:r>
      <w:r>
        <w:rPr>
          <w:rFonts w:eastAsia="Symbol" w:cs="Symbol" w:ascii="Symbol" w:hAnsi="Symbol"/>
          <w:spacing w:val="2"/>
          <w:sz w:val="28"/>
          <w:szCs w:val="28"/>
          <w:shd w:fill="FFFFFF" w:val="clear"/>
        </w:rPr>
        <w:t></w:t>
      </w:r>
      <w:r>
        <w:rPr>
          <w:rFonts w:cs="Times New Roman"/>
          <w:spacing w:val="2"/>
          <w:sz w:val="28"/>
          <w:szCs w:val="28"/>
          <w:shd w:fill="FFFFFF" w:val="clear"/>
        </w:rPr>
        <w:t xml:space="preserve"> </w:t>
        <w:br/>
        <w:t>9 человек. Средняя раскрываемость преступлений находится на уровне 67%.</w:t>
      </w:r>
    </w:p>
    <w:p>
      <w:pPr>
        <w:pStyle w:val="Normal"/>
        <w:ind w:firstLine="709"/>
        <w:jc w:val="both"/>
        <w:rPr>
          <w:rFonts w:cs="Times New Roman"/>
          <w:spacing w:val="2"/>
          <w:sz w:val="28"/>
          <w:szCs w:val="28"/>
          <w:highlight w:val="white"/>
        </w:rPr>
      </w:pPr>
      <w:r>
        <w:rPr>
          <w:rFonts w:cs="Times New Roman"/>
          <w:spacing w:val="2"/>
          <w:sz w:val="28"/>
          <w:szCs w:val="28"/>
          <w:shd w:fill="FFFFFF" w:val="clear"/>
        </w:rPr>
        <w:t>Организацию общественного порядка, предупреждение и пресечение правонарушений на территории Тереньгульского района обеспечивают межмуниципальный отдел МВД России «Сенгилеевский» и народная дружина Тереньгульского городского поселения численностью 16 человек. В целях восполнения недостатка сил в 2019 г. планируется организовать добровольные формирования населения по охране общественного порядка в каждом сельском муниципальном районе Тереньгульского района.</w:t>
      </w:r>
    </w:p>
    <w:p>
      <w:pPr>
        <w:pStyle w:val="Normal"/>
        <w:ind w:firstLine="709"/>
        <w:jc w:val="both"/>
        <w:rPr>
          <w:rFonts w:cs="Times New Roman"/>
          <w:spacing w:val="2"/>
          <w:sz w:val="28"/>
          <w:szCs w:val="28"/>
          <w:highlight w:val="white"/>
        </w:rPr>
      </w:pPr>
      <w:r>
        <w:rPr>
          <w:rFonts w:cs="Times New Roman"/>
          <w:spacing w:val="2"/>
          <w:sz w:val="28"/>
          <w:szCs w:val="28"/>
          <w:shd w:fill="FFFFFF" w:val="clear"/>
        </w:rPr>
        <w:t xml:space="preserve">Помимо обеспечения безопасности жизнедеятельности населения, </w:t>
        <w:br/>
        <w:t>в Тереньгульском районе сохраняются отдельные проблемные вопросы, связанные с высоким уровнем алкоголизации и наркотизации населения.</w:t>
      </w:r>
    </w:p>
    <w:p>
      <w:pPr>
        <w:pStyle w:val="Normal"/>
        <w:spacing w:before="120" w:after="0"/>
        <w:jc w:val="center"/>
        <w:rPr>
          <w:rFonts w:cs="Times New Roman"/>
          <w:b/>
          <w:b/>
          <w:spacing w:val="2"/>
          <w:sz w:val="28"/>
          <w:szCs w:val="28"/>
          <w:highlight w:val="white"/>
        </w:rPr>
      </w:pPr>
      <w:r>
        <w:rPr>
          <w:rFonts w:cs="Times New Roman"/>
          <w:b/>
          <w:sz w:val="28"/>
          <w:szCs w:val="28"/>
        </w:rPr>
        <w:t xml:space="preserve">Таблица </w:t>
      </w:r>
      <w:r>
        <w:rPr>
          <w:rFonts w:cs="Times New Roman"/>
          <w:b/>
          <w:sz w:val="28"/>
          <w:szCs w:val="28"/>
        </w:rPr>
        <w:fldChar w:fldCharType="begin"/>
      </w:r>
      <w:r>
        <w:rPr>
          <w:sz w:val="28"/>
          <w:b/>
          <w:szCs w:val="28"/>
          <w:rFonts w:cs="Times New Roman"/>
        </w:rPr>
        <w:instrText> SEQ Таблица \* ARABIC </w:instrText>
      </w:r>
      <w:r>
        <w:rPr>
          <w:sz w:val="28"/>
          <w:b/>
          <w:szCs w:val="28"/>
          <w:rFonts w:cs="Times New Roman"/>
        </w:rPr>
        <w:fldChar w:fldCharType="separate"/>
      </w:r>
      <w:r>
        <w:rPr>
          <w:sz w:val="28"/>
          <w:b/>
          <w:szCs w:val="28"/>
          <w:rFonts w:cs="Times New Roman"/>
        </w:rPr>
        <w:t>21</w:t>
      </w:r>
      <w:r>
        <w:rPr>
          <w:sz w:val="28"/>
          <w:b/>
          <w:szCs w:val="28"/>
          <w:rFonts w:cs="Times New Roman"/>
        </w:rPr>
        <w:fldChar w:fldCharType="end"/>
      </w:r>
      <w:r>
        <w:rPr>
          <w:rFonts w:cs="Times New Roman"/>
          <w:b/>
          <w:sz w:val="28"/>
          <w:szCs w:val="28"/>
        </w:rPr>
        <w:t xml:space="preserve"> - </w:t>
      </w:r>
      <w:r>
        <w:rPr>
          <w:rFonts w:cs="Times New Roman"/>
          <w:b/>
          <w:spacing w:val="2"/>
          <w:sz w:val="28"/>
          <w:szCs w:val="28"/>
          <w:shd w:fill="FFFFFF" w:val="clear"/>
        </w:rPr>
        <w:t>Болезненность населения Тереньгульского района</w:t>
      </w:r>
    </w:p>
    <w:p>
      <w:pPr>
        <w:pStyle w:val="Normal"/>
        <w:spacing w:before="0" w:after="120"/>
        <w:jc w:val="center"/>
        <w:rPr>
          <w:rFonts w:cs="Times New Roman"/>
        </w:rPr>
      </w:pPr>
      <w:r>
        <w:rPr>
          <w:rFonts w:cs="Times New Roman"/>
          <w:b/>
          <w:spacing w:val="2"/>
          <w:sz w:val="28"/>
          <w:szCs w:val="28"/>
          <w:shd w:fill="FFFFFF" w:val="clear"/>
        </w:rPr>
        <w:t>алкоголизмом, наркоманией и токсикоманией за 2008-2018 гг.</w:t>
      </w:r>
    </w:p>
    <w:tbl>
      <w:tblPr>
        <w:tblW w:w="5000" w:type="pct"/>
        <w:jc w:val="left"/>
        <w:tblInd w:w="0" w:type="dxa"/>
        <w:tblCellMar>
          <w:top w:w="0" w:type="dxa"/>
          <w:left w:w="108" w:type="dxa"/>
          <w:bottom w:w="0" w:type="dxa"/>
          <w:right w:w="108" w:type="dxa"/>
        </w:tblCellMar>
        <w:tblLook w:noVBand="1" w:val="04a0" w:noHBand="0" w:lastColumn="0" w:firstColumn="1" w:lastRow="0" w:firstRow="1"/>
      </w:tblPr>
      <w:tblGrid>
        <w:gridCol w:w="2048"/>
        <w:gridCol w:w="693"/>
        <w:gridCol w:w="693"/>
        <w:gridCol w:w="694"/>
        <w:gridCol w:w="692"/>
        <w:gridCol w:w="694"/>
        <w:gridCol w:w="692"/>
        <w:gridCol w:w="693"/>
        <w:gridCol w:w="694"/>
        <w:gridCol w:w="692"/>
        <w:gridCol w:w="694"/>
        <w:gridCol w:w="658"/>
      </w:tblGrid>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cs="Times New Roman"/>
                <w:b/>
                <w:b/>
                <w:spacing w:val="-6"/>
                <w:sz w:val="22"/>
                <w:szCs w:val="22"/>
                <w:lang w:eastAsia="ru-RU"/>
              </w:rPr>
            </w:pPr>
            <w:r>
              <w:rPr>
                <w:rFonts w:cs="Times New Roman"/>
                <w:b/>
                <w:spacing w:val="-6"/>
                <w:sz w:val="22"/>
                <w:szCs w:val="22"/>
                <w:lang w:eastAsia="ru-RU"/>
              </w:rPr>
              <w:t>Наименование показателя</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2008</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2009</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2010</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2011</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2012</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2013</w:t>
            </w:r>
          </w:p>
        </w:tc>
        <w:tc>
          <w:tcPr>
            <w:tcW w:w="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2014</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2015</w:t>
            </w:r>
          </w:p>
        </w:tc>
        <w:tc>
          <w:tcPr>
            <w:tcW w:w="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2016</w:t>
            </w:r>
          </w:p>
        </w:tc>
        <w:tc>
          <w:tcPr>
            <w:tcW w:w="6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2017</w:t>
            </w:r>
          </w:p>
        </w:tc>
        <w:tc>
          <w:tcPr>
            <w:tcW w:w="6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2018</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Число больных алкоголизмом и алкогольными психозами, чел.</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388</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363</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381</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370</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334</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342</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294</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215</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215</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187</w:t>
            </w:r>
          </w:p>
        </w:tc>
        <w:tc>
          <w:tcPr>
            <w:tcW w:w="6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177</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Число больных наркоманией, чел.</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10</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6</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5</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8</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9</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8</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9</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13</w:t>
            </w:r>
          </w:p>
        </w:tc>
        <w:tc>
          <w:tcPr>
            <w:tcW w:w="6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11</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 w:val="22"/>
                <w:szCs w:val="22"/>
              </w:rPr>
            </w:pPr>
            <w:r>
              <w:rPr>
                <w:rFonts w:cs="Times New Roman"/>
                <w:sz w:val="22"/>
                <w:szCs w:val="22"/>
              </w:rPr>
              <w:t>Число больных токсикоманией, чел.</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0</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2</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Times New Roman"/>
                <w:sz w:val="22"/>
                <w:szCs w:val="22"/>
              </w:rPr>
            </w:pPr>
            <w:r>
              <w:rPr>
                <w:rFonts w:cs="Times New Roman"/>
                <w:sz w:val="22"/>
                <w:szCs w:val="22"/>
              </w:rPr>
              <w:t>1</w:t>
            </w:r>
          </w:p>
        </w:tc>
      </w:tr>
    </w:tbl>
    <w:p>
      <w:pPr>
        <w:pStyle w:val="Normal"/>
        <w:ind w:firstLine="709"/>
        <w:jc w:val="both"/>
        <w:rPr>
          <w:rFonts w:cs="Times New Roman"/>
          <w:spacing w:val="2"/>
          <w:sz w:val="28"/>
          <w:szCs w:val="28"/>
          <w:highlight w:val="white"/>
          <w:lang w:val="en-US"/>
        </w:rPr>
      </w:pPr>
      <w:r>
        <w:rPr>
          <w:rFonts w:cs="Times New Roman"/>
          <w:spacing w:val="2"/>
          <w:sz w:val="28"/>
          <w:szCs w:val="28"/>
          <w:highlight w:val="white"/>
          <w:lang w:val="en-US"/>
        </w:rPr>
      </w:r>
    </w:p>
    <w:p>
      <w:pPr>
        <w:pStyle w:val="Normal"/>
        <w:ind w:firstLine="709"/>
        <w:jc w:val="both"/>
        <w:rPr>
          <w:rFonts w:cs="Times New Roman"/>
          <w:spacing w:val="2"/>
          <w:sz w:val="28"/>
          <w:szCs w:val="28"/>
          <w:highlight w:val="white"/>
        </w:rPr>
      </w:pPr>
      <w:r>
        <w:rPr>
          <w:rFonts w:cs="Times New Roman"/>
          <w:spacing w:val="2"/>
          <w:sz w:val="28"/>
          <w:szCs w:val="28"/>
          <w:shd w:fill="FFFFFF" w:val="clear"/>
        </w:rPr>
        <w:t>Общее число больных с диагнозом наркомания, токсикомания и алкоголизм на территории Тереньгульского района составляет 189 человек, или 1% общей численности населения муниципалитета.</w:t>
      </w:r>
    </w:p>
    <w:p>
      <w:pPr>
        <w:pStyle w:val="Normal"/>
        <w:ind w:firstLine="709"/>
        <w:jc w:val="both"/>
        <w:rPr>
          <w:rFonts w:cs="Times New Roman"/>
          <w:spacing w:val="2"/>
          <w:sz w:val="28"/>
          <w:szCs w:val="28"/>
          <w:highlight w:val="white"/>
        </w:rPr>
      </w:pPr>
      <w:r>
        <w:rPr>
          <w:rFonts w:cs="Times New Roman"/>
          <w:spacing w:val="2"/>
          <w:sz w:val="28"/>
          <w:szCs w:val="28"/>
          <w:shd w:fill="FFFFFF" w:val="clear"/>
        </w:rPr>
        <w:t xml:space="preserve">Большинство зарегистрированных – это больные алкоголизмом и алкогольными психозами </w:t>
      </w:r>
      <w:r>
        <w:rPr>
          <w:rFonts w:eastAsia="Symbol" w:cs="Symbol" w:ascii="Symbol" w:hAnsi="Symbol"/>
          <w:spacing w:val="2"/>
          <w:sz w:val="28"/>
          <w:szCs w:val="28"/>
          <w:shd w:fill="FFFFFF" w:val="clear"/>
        </w:rPr>
        <w:t></w:t>
      </w:r>
      <w:r>
        <w:rPr>
          <w:rFonts w:cs="Times New Roman"/>
          <w:spacing w:val="2"/>
          <w:sz w:val="28"/>
          <w:szCs w:val="28"/>
          <w:shd w:fill="FFFFFF" w:val="clear"/>
        </w:rPr>
        <w:t xml:space="preserve"> 93,7 %, лица, больные наркоманией составляют 5,8 %. На больных токсикоманией приходится 0,5 % всех больных.</w:t>
      </w:r>
    </w:p>
    <w:p>
      <w:pPr>
        <w:pStyle w:val="Normal"/>
        <w:ind w:firstLine="709"/>
        <w:jc w:val="both"/>
        <w:rPr>
          <w:rFonts w:cs="Times New Roman"/>
          <w:spacing w:val="2"/>
          <w:sz w:val="28"/>
          <w:szCs w:val="28"/>
          <w:highlight w:val="white"/>
        </w:rPr>
      </w:pPr>
      <w:r>
        <w:rPr>
          <w:rFonts w:cs="Times New Roman"/>
          <w:spacing w:val="2"/>
          <w:sz w:val="28"/>
          <w:szCs w:val="28"/>
          <w:shd w:fill="FFFFFF" w:val="clear"/>
        </w:rPr>
        <w:t xml:space="preserve">Число лиц, состоящих под наблюдением наркологической службы </w:t>
        <w:br/>
        <w:t xml:space="preserve">в связи с зависимостью от алкоголя (в том числе алкогольные психозы), </w:t>
        <w:br/>
        <w:t>в 2018 г. составило 177 человек. По сравнению с 2008 г. болезненность алкоголизмом снизилась в 2 раза.</w:t>
      </w:r>
    </w:p>
    <w:p>
      <w:pPr>
        <w:pStyle w:val="Normal"/>
        <w:ind w:firstLine="709"/>
        <w:jc w:val="both"/>
        <w:rPr>
          <w:rFonts w:cs="Times New Roman"/>
          <w:spacing w:val="2"/>
          <w:sz w:val="28"/>
          <w:szCs w:val="28"/>
          <w:highlight w:val="white"/>
        </w:rPr>
      </w:pPr>
      <w:r>
        <w:rPr>
          <w:rFonts w:cs="Times New Roman"/>
          <w:spacing w:val="2"/>
          <w:sz w:val="28"/>
          <w:szCs w:val="28"/>
          <w:shd w:fill="FFFFFF" w:val="clear"/>
        </w:rPr>
        <w:t>Противоположная ситуация наблюдается с наркобольными. С 2015 г. наблюдается устойчивый рост лиц, состоящих под наблюдением наркологической службы в связи с зависимостью от наркотиков.</w:t>
        <w:br/>
        <w:t xml:space="preserve">Наибольшее количество впервые выявленных больных отмечено </w:t>
        <w:br/>
        <w:t>в 2013 г. При этом в 2018 г. заболевших не зафиксировано.</w:t>
      </w:r>
    </w:p>
    <w:p>
      <w:pPr>
        <w:pStyle w:val="Normal"/>
        <w:ind w:firstLine="709"/>
        <w:jc w:val="both"/>
        <w:rPr>
          <w:rFonts w:cs="Times New Roman"/>
          <w:spacing w:val="2"/>
          <w:sz w:val="28"/>
          <w:szCs w:val="28"/>
          <w:highlight w:val="white"/>
        </w:rPr>
      </w:pPr>
      <w:r>
        <w:rPr>
          <w:rFonts w:cs="Times New Roman"/>
          <w:spacing w:val="2"/>
          <w:sz w:val="28"/>
          <w:szCs w:val="28"/>
          <w:shd w:fill="FFFFFF" w:val="clear"/>
        </w:rPr>
        <w:t>Вопросы, связанные с противодействием злоупотреблению наркотиками и их незаконному обороту, а также обеспечением правопорядка и безопасности жизнедеятельности, входят в десятку наиболее приоритетных задач социально-экономического развития Тереньгульского района. Об этом свидетельствует муниципальная программа «Комплексные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 на 2019-2021 гг.», представляющая собой комплекс организационных, правовых, социальных, информационных, консультационных, образовательных и иных мероприятий. На эти цели в бюджете Тереньгульского района заложено 255,5 тыс. руб., в том числе 2019 г. – 75,0 тыс. руб., в 2020 г. – 85,0 тыс. руб., в 2021 г. – 95,5 тыс. руб.</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01"/>
        <w:numPr>
          <w:ilvl w:val="0"/>
          <w:numId w:val="58"/>
        </w:numPr>
        <w:ind w:left="0" w:hanging="0"/>
        <w:rPr/>
      </w:pPr>
      <w:bookmarkStart w:id="39" w:name="_Toc4405004"/>
      <w:r>
        <w:rPr/>
        <w:t>СТРАТЕГИЧЕСКИЕ ЦЕЛИ И ЗАДАЧИ РАЗВИТИЯ РАЙОНА</w:t>
        <w:br/>
        <w:t>В ДОЛГОСРОЧНОЙ ПЕРСПЕКТИВЕ</w:t>
      </w:r>
      <w:bookmarkEnd w:id="39"/>
    </w:p>
    <w:p>
      <w:pPr>
        <w:pStyle w:val="01"/>
        <w:rPr/>
      </w:pPr>
      <w:r>
        <w:rPr/>
      </w:r>
    </w:p>
    <w:p>
      <w:pPr>
        <w:pStyle w:val="Normal"/>
        <w:ind w:firstLine="709"/>
        <w:jc w:val="both"/>
        <w:rPr>
          <w:sz w:val="28"/>
          <w:szCs w:val="28"/>
        </w:rPr>
      </w:pPr>
      <w:r>
        <w:rPr>
          <w:sz w:val="28"/>
          <w:szCs w:val="28"/>
        </w:rPr>
        <w:t xml:space="preserve">В Стратегии социально-экономического развития Тереньгульского района до 2030 года предусмотрено семь уровней иерархии целей: </w:t>
      </w:r>
    </w:p>
    <w:p>
      <w:pPr>
        <w:pStyle w:val="Normal"/>
        <w:ind w:firstLine="709"/>
        <w:jc w:val="both"/>
        <w:rPr>
          <w:sz w:val="28"/>
          <w:szCs w:val="28"/>
        </w:rPr>
      </w:pPr>
      <w:r>
        <w:rPr>
          <w:sz w:val="28"/>
          <w:szCs w:val="28"/>
        </w:rPr>
      </w:r>
    </w:p>
    <w:p>
      <w:pPr>
        <w:pStyle w:val="Normal"/>
        <w:jc w:val="both"/>
        <w:rPr>
          <w:sz w:val="28"/>
          <w:szCs w:val="28"/>
        </w:rPr>
      </w:pPr>
      <w:r>
        <w:rPr>
          <w:sz w:val="28"/>
          <w:szCs w:val="28"/>
        </w:rPr>
        <mc:AlternateContent>
          <mc:Choice Requires="wps">
            <w:drawing>
              <wp:anchor behindDoc="0" distT="0" distB="0" distL="0" distR="0" simplePos="0" locked="0" layoutInCell="1" allowOverlap="1" relativeHeight="3" wp14:anchorId="7E111DE9">
                <wp:simplePos x="0" y="0"/>
                <wp:positionH relativeFrom="column">
                  <wp:posOffset>2658745</wp:posOffset>
                </wp:positionH>
                <wp:positionV relativeFrom="paragraph">
                  <wp:posOffset>1835150</wp:posOffset>
                </wp:positionV>
                <wp:extent cx="255905" cy="441325"/>
                <wp:effectExtent l="78740" t="0" r="33655" b="52705"/>
                <wp:wrapNone/>
                <wp:docPr id="36" name="Соединительная линия уступом 95"/>
                <a:graphic xmlns:a="http://schemas.openxmlformats.org/drawingml/2006/main">
                  <a:graphicData uri="http://schemas.microsoft.com/office/word/2010/wordprocessingShape">
                    <wps:wsp>
                      <wps:cNvSpPr/>
                      <wps:spPr>
                        <a:xfrm rot="5400000">
                          <a:off x="0" y="0"/>
                          <a:ext cx="255240" cy="440640"/>
                        </a:xfrm>
                        <a:prstGeom prst="bentConnector3">
                          <a:avLst>
                            <a:gd name="adj1" fmla="val 50000"/>
                          </a:avLst>
                        </a:prstGeom>
                        <a:noFill/>
                        <a:ln>
                          <a:solidFill>
                            <a:srgbClr val="6c6c71"/>
                          </a:solidFill>
                          <a:prstDash val="lgDash"/>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Соединительная линия уступом 95" stroked="t" style="position:absolute;margin-left:209.35pt;margin-top:144.55pt;width:20.05pt;height:34.65pt;rotation:90" wp14:anchorId="7E111DE9" type="shapetype_34">
                <w10:wrap type="none"/>
                <v:fill o:detectmouseclick="t" on="false"/>
                <v:stroke color="#6c6c71" weight="9360" dashstyle="longdash"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4" wp14:anchorId="59E7D50B">
                <wp:simplePos x="0" y="0"/>
                <wp:positionH relativeFrom="column">
                  <wp:posOffset>3116580</wp:posOffset>
                </wp:positionH>
                <wp:positionV relativeFrom="paragraph">
                  <wp:posOffset>1816735</wp:posOffset>
                </wp:positionV>
                <wp:extent cx="256540" cy="474980"/>
                <wp:effectExtent l="5080" t="0" r="54610" b="54610"/>
                <wp:wrapNone/>
                <wp:docPr id="37" name="Соединительная линия уступом 96"/>
                <a:graphic xmlns:a="http://schemas.openxmlformats.org/drawingml/2006/main">
                  <a:graphicData uri="http://schemas.microsoft.com/office/word/2010/wordprocessingShape">
                    <wps:wsp>
                      <wps:cNvSpPr/>
                      <wps:spPr>
                        <a:xfrm flipH="1" rot="16200000">
                          <a:off x="0" y="0"/>
                          <a:ext cx="255960" cy="474480"/>
                        </a:xfrm>
                        <a:prstGeom prst="bentConnector3">
                          <a:avLst>
                            <a:gd name="adj1" fmla="val 50000"/>
                          </a:avLst>
                        </a:prstGeom>
                        <a:noFill/>
                        <a:ln>
                          <a:solidFill>
                            <a:srgbClr val="6c6c71"/>
                          </a:solidFill>
                          <a:prstDash val="lgDash"/>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Соединительная линия уступом 96" stroked="t" style="position:absolute;margin-left:245.4pt;margin-top:143.1pt;width:20.1pt;height:37.3pt;flip:x;rotation:90" wp14:anchorId="59E7D50B" type="shapetype_34">
                <w10:wrap type="none"/>
                <v:fill o:detectmouseclick="t" on="false"/>
                <v:stroke color="#6c6c71" weight="9360" dashstyle="longdash"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5" wp14:anchorId="79CAB26E">
                <wp:simplePos x="0" y="0"/>
                <wp:positionH relativeFrom="column">
                  <wp:posOffset>4579620</wp:posOffset>
                </wp:positionH>
                <wp:positionV relativeFrom="paragraph">
                  <wp:posOffset>1831975</wp:posOffset>
                </wp:positionV>
                <wp:extent cx="255905" cy="441325"/>
                <wp:effectExtent l="78740" t="0" r="33655" b="52705"/>
                <wp:wrapNone/>
                <wp:docPr id="38" name="Соединительная линия уступом 97"/>
                <a:graphic xmlns:a="http://schemas.openxmlformats.org/drawingml/2006/main">
                  <a:graphicData uri="http://schemas.microsoft.com/office/word/2010/wordprocessingShape">
                    <wps:wsp>
                      <wps:cNvSpPr/>
                      <wps:spPr>
                        <a:xfrm rot="5400000">
                          <a:off x="0" y="0"/>
                          <a:ext cx="255240" cy="440640"/>
                        </a:xfrm>
                        <a:prstGeom prst="bentConnector3">
                          <a:avLst>
                            <a:gd name="adj1" fmla="val 50000"/>
                          </a:avLst>
                        </a:prstGeom>
                        <a:noFill/>
                        <a:ln>
                          <a:solidFill>
                            <a:srgbClr val="6c6c71"/>
                          </a:solidFill>
                          <a:prstDash val="lgDash"/>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Соединительная линия уступом 97" stroked="t" style="position:absolute;margin-left:360.6pt;margin-top:144.3pt;width:20.05pt;height:34.65pt;rotation:90" wp14:anchorId="79CAB26E" type="shapetype_34">
                <w10:wrap type="none"/>
                <v:fill o:detectmouseclick="t" on="false"/>
                <v:stroke color="#6c6c71" weight="9360" dashstyle="longdash"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6" wp14:anchorId="694AE4CB">
                <wp:simplePos x="0" y="0"/>
                <wp:positionH relativeFrom="column">
                  <wp:posOffset>5037455</wp:posOffset>
                </wp:positionH>
                <wp:positionV relativeFrom="paragraph">
                  <wp:posOffset>1813560</wp:posOffset>
                </wp:positionV>
                <wp:extent cx="256540" cy="474980"/>
                <wp:effectExtent l="5080" t="0" r="54610" b="54610"/>
                <wp:wrapNone/>
                <wp:docPr id="39" name="Соединительная линия уступом 98"/>
                <a:graphic xmlns:a="http://schemas.openxmlformats.org/drawingml/2006/main">
                  <a:graphicData uri="http://schemas.microsoft.com/office/word/2010/wordprocessingShape">
                    <wps:wsp>
                      <wps:cNvSpPr/>
                      <wps:spPr>
                        <a:xfrm flipH="1" rot="16200000">
                          <a:off x="0" y="0"/>
                          <a:ext cx="255960" cy="474480"/>
                        </a:xfrm>
                        <a:prstGeom prst="bentConnector3">
                          <a:avLst>
                            <a:gd name="adj1" fmla="val 50000"/>
                          </a:avLst>
                        </a:prstGeom>
                        <a:noFill/>
                        <a:ln>
                          <a:solidFill>
                            <a:srgbClr val="6c6c71"/>
                          </a:solidFill>
                          <a:prstDash val="lgDash"/>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Соединительная линия уступом 98" stroked="t" style="position:absolute;margin-left:396.65pt;margin-top:142.85pt;width:20.1pt;height:37.3pt;flip:x;rotation:90" wp14:anchorId="694AE4CB" type="shapetype_34">
                <w10:wrap type="none"/>
                <v:fill o:detectmouseclick="t" on="false"/>
                <v:stroke color="#6c6c71" weight="9360" dashstyle="longdash" endarrow="block" endarrowwidth="medium" endarrowlength="medium" joinstyle="round" endcap="flat"/>
              </v:shape>
            </w:pict>
          </mc:Fallback>
        </mc:AlternateContent>
        <mc:AlternateContent>
          <mc:Choice Requires="wpg">
            <w:drawing>
              <wp:anchor behindDoc="0" distT="0" distB="0" distL="0" distR="0" simplePos="0" locked="0" layoutInCell="1" allowOverlap="1" relativeHeight="7" wp14:anchorId="61925933">
                <wp:simplePos x="0" y="0"/>
                <wp:positionH relativeFrom="column">
                  <wp:posOffset>1235710</wp:posOffset>
                </wp:positionH>
                <wp:positionV relativeFrom="paragraph">
                  <wp:posOffset>2905760</wp:posOffset>
                </wp:positionV>
                <wp:extent cx="439420" cy="5616575"/>
                <wp:effectExtent l="76200" t="0" r="76835" b="45085"/>
                <wp:wrapNone/>
                <wp:docPr id="40" name="Группа 148"/>
                <a:graphic xmlns:a="http://schemas.openxmlformats.org/drawingml/2006/main">
                  <a:graphicData uri="http://schemas.microsoft.com/office/word/2010/wordprocessingGroup">
                    <wpg:wgp>
                      <wpg:cNvGrpSpPr/>
                      <wpg:grpSpPr>
                        <a:xfrm>
                          <a:off x="0" y="0"/>
                          <a:ext cx="438840" cy="5616000"/>
                        </a:xfrm>
                      </wpg:grpSpPr>
                      <wps:wsp>
                        <wps:cNvSpPr/>
                        <wps:spPr>
                          <a:xfrm>
                            <a:off x="363240" y="2808000"/>
                            <a:ext cx="720" cy="720"/>
                          </a:xfrm>
                          <a:prstGeom prst="rect">
                            <a:avLst/>
                          </a:prstGeom>
                          <a:noFill/>
                          <a:ln>
                            <a:noFill/>
                          </a:ln>
                        </wps:spPr>
                        <wps:style>
                          <a:lnRef idx="0"/>
                          <a:fillRef idx="0"/>
                          <a:effectRef idx="0"/>
                          <a:fontRef idx="minor"/>
                        </wps:style>
                        <wps:bodyPr/>
                      </wps:wsp>
                      <wps:wsp>
                        <wps:cNvSpPr/>
                        <wps:spPr>
                          <a:xfrm>
                            <a:off x="363240" y="2230200"/>
                            <a:ext cx="720" cy="115560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lang w:eastAsia="en-US"/>
                                </w:rPr>
                                <w:t>МИССИЯ</w:t>
                              </w:r>
                            </w:p>
                          </w:txbxContent>
                        </wps:txbx>
                        <wps:bodyPr lIns="90000" rIns="90000" tIns="45000" bIns="45000" anchor="ctr">
                          <a:spAutoFit/>
                        </wps:bodyPr>
                      </wps:wsp>
                      <wps:wsp>
                        <wps:cNvSpPr/>
                        <wps:spPr>
                          <a:xfrm>
                            <a:off x="363240" y="0"/>
                            <a:ext cx="720" cy="561600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СТРАТЕГИЧЕСКИЙ ВЕКТОР РАЗВИТИЯ - 1</w:t>
                              </w:r>
                            </w:p>
                          </w:txbxContent>
                        </wps:txbx>
                        <wps:bodyPr lIns="90000" rIns="90000" tIns="45000" bIns="45000" anchor="ctr">
                          <a:spAutoFit/>
                        </wps:bodyPr>
                      </wps:wsp>
                      <wps:wsp>
                        <wps:cNvSpPr/>
                        <wps:spPr>
                          <a:xfrm>
                            <a:off x="363240" y="0"/>
                            <a:ext cx="720" cy="561600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СТРАТЕГИЧЕСКИЙ ВЕКТОР РАЗВИТИЯ - 2</w:t>
                              </w:r>
                            </w:p>
                          </w:txbxContent>
                        </wps:txbx>
                        <wps:bodyPr lIns="90000" rIns="90000" tIns="45000" bIns="45000" anchor="ctr">
                          <a:spAutoFit/>
                        </wps:bodyPr>
                      </wps:wsp>
                      <wps:wsp>
                        <wps:cNvSpPr/>
                        <wps:spPr>
                          <a:xfrm>
                            <a:off x="363240" y="0"/>
                            <a:ext cx="720" cy="561600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СТРАТЕГИЧЕСКИЙ ВЕКТОР РАЗВИТИЯ - 3</w:t>
                              </w:r>
                            </w:p>
                          </w:txbxContent>
                        </wps:txbx>
                        <wps:bodyPr lIns="90000" rIns="90000" tIns="45000" bIns="45000" anchor="ctr">
                          <a:spAutoFit/>
                        </wps:bodyPr>
                      </wps:wsp>
                      <wps:wsp>
                        <wps:cNvSpPr/>
                        <wps:spPr>
                          <a:xfrm>
                            <a:off x="363240" y="894240"/>
                            <a:ext cx="720" cy="382788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СТРАТЕГИЧЕСКАЯ ЦЕЛЬ - 1</w:t>
                              </w:r>
                            </w:p>
                          </w:txbxContent>
                        </wps:txbx>
                        <wps:bodyPr lIns="90000" rIns="90000" tIns="45000" bIns="45000" anchor="ctr">
                          <a:spAutoFit/>
                        </wps:bodyPr>
                      </wps:wsp>
                      <wps:wsp>
                        <wps:cNvSpPr/>
                        <wps:spPr>
                          <a:xfrm>
                            <a:off x="363240" y="894240"/>
                            <a:ext cx="720" cy="382788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СТРАТЕГИЧЕСКАЯ ЦЕЛЬ - 2</w:t>
                              </w:r>
                            </w:p>
                          </w:txbxContent>
                        </wps:txbx>
                        <wps:bodyPr lIns="90000" rIns="90000" tIns="45000" bIns="45000" anchor="ctr">
                          <a:spAutoFit/>
                        </wps:bodyPr>
                      </wps:wsp>
                      <wps:wsp>
                        <wps:cNvSpPr/>
                        <wps:spPr>
                          <a:xfrm>
                            <a:off x="363240" y="894240"/>
                            <a:ext cx="720" cy="382788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СТРАТЕГИЧЕСКАЯ ЦЕЛЬ - 3</w:t>
                              </w:r>
                            </w:p>
                          </w:txbxContent>
                        </wps:txbx>
                        <wps:bodyPr lIns="90000" rIns="90000" tIns="45000" bIns="45000" anchor="ctr">
                          <a:spAutoFit/>
                        </wps:bodyPr>
                      </wps:wsp>
                      <wps:wsp>
                        <wps:cNvSpPr/>
                        <wps:spPr>
                          <a:xfrm>
                            <a:off x="363240" y="1896840"/>
                            <a:ext cx="720" cy="18223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1.1</w:t>
                              </w:r>
                            </w:p>
                          </w:txbxContent>
                        </wps:txbx>
                        <wps:bodyPr lIns="90000" rIns="90000" tIns="45000" bIns="45000" anchor="ctr">
                          <a:spAutoFit/>
                        </wps:bodyPr>
                      </wps:wsp>
                      <wps:wsp>
                        <wps:cNvSpPr/>
                        <wps:spPr>
                          <a:xfrm>
                            <a:off x="363240" y="1896840"/>
                            <a:ext cx="720" cy="18223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1.2</w:t>
                              </w:r>
                            </w:p>
                          </w:txbxContent>
                        </wps:txbx>
                        <wps:bodyPr lIns="90000" rIns="90000" tIns="45000" bIns="45000" anchor="ctr">
                          <a:spAutoFit/>
                        </wps:bodyPr>
                      </wps:wsp>
                      <wps:wsp>
                        <wps:cNvSpPr/>
                        <wps:spPr>
                          <a:xfrm>
                            <a:off x="363240" y="1896840"/>
                            <a:ext cx="720" cy="18223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2.1</w:t>
                              </w:r>
                            </w:p>
                          </w:txbxContent>
                        </wps:txbx>
                        <wps:bodyPr lIns="90000" rIns="90000" tIns="45000" bIns="45000" anchor="ctr">
                          <a:spAutoFit/>
                        </wps:bodyPr>
                      </wps:wsp>
                      <wps:wsp>
                        <wps:cNvSpPr/>
                        <wps:spPr>
                          <a:xfrm>
                            <a:off x="363240" y="2030040"/>
                            <a:ext cx="720" cy="15559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90000" tIns="45000" bIns="45000" anchor="ctr">
                          <a:spAutoFit/>
                        </wps:bodyPr>
                      </wps:wsp>
                      <wps:wsp>
                        <wps:cNvSpPr/>
                        <wps:spPr>
                          <a:xfrm>
                            <a:off x="363240" y="1896840"/>
                            <a:ext cx="720" cy="18223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3.1</w:t>
                              </w:r>
                            </w:p>
                          </w:txbxContent>
                        </wps:txbx>
                        <wps:bodyPr lIns="90000" rIns="90000" tIns="45000" bIns="45000" anchor="ctr">
                          <a:spAutoFit/>
                        </wps:bodyPr>
                      </wps:wsp>
                      <wps:wsp>
                        <wps:cNvSpPr/>
                        <wps:spPr>
                          <a:xfrm>
                            <a:off x="363240" y="2030040"/>
                            <a:ext cx="720" cy="15559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90000" tIns="45000" bIns="45000" anchor="ctr">
                          <a:sp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1.1.1</w:t>
                              </w:r>
                            </w:p>
                          </w:txbxContent>
                        </wps:txbx>
                        <wps:bodyPr lIns="90000" rIns="90000" tIns="45000" bIns="4500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90000" tIns="45000" bIns="4500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1.2.1</w:t>
                              </w:r>
                            </w:p>
                          </w:txbxContent>
                        </wps:txbx>
                        <wps:bodyPr lIns="90000" rIns="90000" tIns="45000" bIns="4500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90000" tIns="45000" bIns="4500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2.1.1</w:t>
                              </w:r>
                            </w:p>
                          </w:txbxContent>
                        </wps:txbx>
                        <wps:bodyPr lIns="90000" rIns="90000" tIns="45000" bIns="4500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39240" rIns="3924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3.1.1</w:t>
                              </w:r>
                            </w:p>
                          </w:txbxContent>
                        </wps:txbx>
                        <wps:bodyPr lIns="90000" rIns="90000" tIns="45000" bIns="4500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90000" tIns="45000" bIns="4500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wps:txbx>
                        <wps:bodyPr lIns="9000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wps:txbx>
                        <wps:bodyPr lIns="36360" rIns="36360" tIns="36360" bIns="36360" anchorCtr="1" vert="vert" rot="5400000">
                          <a:noAutofit/>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wps:txbx>
                        <wps:bodyPr lIns="36360" rIns="36360" tIns="36360" bIns="36360" anchorCtr="1" vert="vert" rot="5400000">
                          <a:noAutofit/>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a:off x="363240" y="2808000"/>
                            <a:ext cx="720" cy="720"/>
                          </a:xfrm>
                          <a:prstGeom prst="rect">
                            <a:avLst/>
                          </a:prstGeom>
                          <a:noFill/>
                          <a:ln>
                            <a:noFill/>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a:off x="363240" y="2808000"/>
                            <a:ext cx="720" cy="720"/>
                          </a:xfrm>
                          <a:prstGeom prst="rect">
                            <a:avLst/>
                          </a:prstGeom>
                          <a:noFill/>
                          <a:ln>
                            <a:noFill/>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a:off x="363240" y="2808000"/>
                            <a:ext cx="720" cy="720"/>
                          </a:xfrm>
                          <a:prstGeom prst="rect">
                            <a:avLst/>
                          </a:prstGeom>
                          <a:noFill/>
                          <a:ln>
                            <a:noFill/>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a:off x="363240" y="2808000"/>
                            <a:ext cx="720" cy="720"/>
                          </a:xfrm>
                          <a:prstGeom prst="rect">
                            <a:avLst/>
                          </a:prstGeom>
                          <a:noFill/>
                          <a:ln>
                            <a:noFill/>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a:off x="363240" y="2808000"/>
                            <a:ext cx="720" cy="720"/>
                          </a:xfrm>
                          <a:prstGeom prst="rect">
                            <a:avLst/>
                          </a:prstGeom>
                          <a:noFill/>
                          <a:ln>
                            <a:noFill/>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3240" y="280800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800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800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63240" y="280800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63240" y="28072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a:off x="363240" y="2807280"/>
                            <a:ext cx="720" cy="720"/>
                          </a:xfrm>
                          <a:prstGeom prst="rect">
                            <a:avLst/>
                          </a:prstGeom>
                          <a:noFill/>
                          <a:ln>
                            <a:noFill/>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728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96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96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960" y="280800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3240" y="280728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3240" y="280728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728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240" y="280728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1440" y="280728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3240" y="280728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3240" y="280728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728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2520" y="280728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240" y="280728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240" y="280800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240" y="28072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3240" y="28072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63240" y="28072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63240" y="28072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63240" y="28072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a:off x="341640" y="2696760"/>
                            <a:ext cx="97200" cy="195480"/>
                          </a:xfrm>
                          <a:prstGeom prst="rect">
                            <a:avLst/>
                          </a:prstGeom>
                          <a:noFill/>
                          <a:ln>
                            <a:noFill/>
                          </a:ln>
                        </wps:spPr>
                        <wps:style>
                          <a:lnRef idx="0"/>
                          <a:fillRef idx="0"/>
                          <a:effectRef idx="0"/>
                          <a:fontRef idx="minor"/>
                        </wps:style>
                        <wps:bodyPr/>
                      </wps:wsp>
                      <wps:wsp>
                        <wps:cNvSpPr/>
                        <wps:spPr>
                          <a:xfrm>
                            <a:off x="344160" y="2696760"/>
                            <a:ext cx="92880" cy="1728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45960" y="2723400"/>
                            <a:ext cx="2916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76560" y="2723400"/>
                            <a:ext cx="2988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408240" y="2723400"/>
                            <a:ext cx="2916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45960" y="2752200"/>
                            <a:ext cx="2916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76560" y="2752200"/>
                            <a:ext cx="2988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408240" y="2752200"/>
                            <a:ext cx="2916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45960" y="2782080"/>
                            <a:ext cx="1476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61440" y="2782080"/>
                            <a:ext cx="1404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76560" y="2782080"/>
                            <a:ext cx="1476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92400" y="2782080"/>
                            <a:ext cx="1404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408240" y="2782080"/>
                            <a:ext cx="1404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423720" y="2782080"/>
                            <a:ext cx="14040" cy="2016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
                          <a:spAutoFit/>
                        </wps:bodyPr>
                      </wps:wsp>
                      <wps:wsp>
                        <wps:cNvSpPr/>
                        <wps:spPr>
                          <a:xfrm>
                            <a:off x="344880" y="2811240"/>
                            <a:ext cx="7560" cy="3420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1" vert="vert" rot="5400000">
                          <a:noAutofit/>
                        </wps:bodyPr>
                      </wps:wsp>
                      <wps:wsp>
                        <wps:cNvSpPr/>
                        <wps:spPr>
                          <a:xfrm>
                            <a:off x="351720" y="2811240"/>
                            <a:ext cx="7560" cy="3420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1" vert="vert" rot="5400000">
                          <a:noAutofit/>
                        </wps:bodyPr>
                      </wps:wsp>
                      <wps:wsp>
                        <wps:cNvSpPr/>
                        <wps:spPr>
                          <a:xfrm>
                            <a:off x="359280" y="2811240"/>
                            <a:ext cx="7560" cy="3420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1" vert="vert" rot="5400000">
                          <a:noAutofit/>
                        </wps:bodyPr>
                      </wps:wsp>
                      <wps:wsp>
                        <wps:cNvSpPr/>
                        <wps:spPr>
                          <a:xfrm>
                            <a:off x="367200" y="2811240"/>
                            <a:ext cx="7560" cy="3420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1" vert="vert" rot="5400000">
                          <a:noAutofit/>
                        </wps:bodyPr>
                      </wps:wsp>
                      <wps:wsp>
                        <wps:cNvSpPr/>
                        <wps:spPr>
                          <a:xfrm>
                            <a:off x="375120" y="2811240"/>
                            <a:ext cx="7560" cy="3420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1" vert="vert" rot="5400000">
                          <a:noAutofit/>
                        </wps:bodyPr>
                      </wps:wsp>
                      <wps:wsp>
                        <wps:cNvSpPr/>
                        <wps:spPr>
                          <a:xfrm>
                            <a:off x="383400" y="2811240"/>
                            <a:ext cx="6840" cy="34200"/>
                          </a:xfrm>
                          <a:prstGeom prst="rect">
                            <a:avLst/>
                          </a:prstGeom>
                          <a:solidFill>
                            <a:srgbClr val="ffffff"/>
                          </a:solidFill>
                          <a:ln w="25560">
                            <a:solidFill>
                              <a:srgbClr val="a7b789"/>
                            </a:solidFill>
                            <a:round/>
                          </a:ln>
                        </wps:spPr>
                        <wps:style>
                          <a:lnRef idx="0"/>
                          <a:fillRef idx="0"/>
                          <a:effectRef idx="0"/>
                          <a:fontRef idx="minor"/>
                        </wps:style>
                        <wps:txbx/>
                        <wps:bodyPr lIns="39240" rIns="39240" tIns="36360" bIns="36360" anchorCtr="1" vert="vert" rot="5400000">
                          <a:noAutofit/>
                        </wps:bodyPr>
                      </wps:wsp>
                      <wps:wsp>
                        <wps:cNvSpPr/>
                        <wps:spPr>
                          <a:xfrm>
                            <a:off x="391320" y="2811240"/>
                            <a:ext cx="6840" cy="34200"/>
                          </a:xfrm>
                          <a:prstGeom prst="rect">
                            <a:avLst/>
                          </a:prstGeom>
                          <a:solidFill>
                            <a:srgbClr val="ffffff"/>
                          </a:solidFill>
                          <a:ln w="25560">
                            <a:solidFill>
                              <a:srgbClr val="a7b789"/>
                            </a:solidFill>
                            <a:round/>
                          </a:ln>
                        </wps:spPr>
                        <wps:style>
                          <a:lnRef idx="0"/>
                          <a:fillRef idx="0"/>
                          <a:effectRef idx="0"/>
                          <a:fontRef idx="minor"/>
                        </wps:style>
                        <wps:txbx/>
                        <wps:bodyPr lIns="90000" rIns="36360" tIns="36360" bIns="36360" anchorCtr="1" vert="vert" rot="5400000">
                          <a:noAutofit/>
                        </wps:bodyPr>
                      </wps:wsp>
                      <wps:wsp>
                        <wps:cNvSpPr/>
                        <wps:spPr>
                          <a:xfrm>
                            <a:off x="398880" y="2811240"/>
                            <a:ext cx="6840" cy="34200"/>
                          </a:xfrm>
                          <a:prstGeom prst="rect">
                            <a:avLst/>
                          </a:prstGeom>
                          <a:solidFill>
                            <a:srgbClr val="ffffff"/>
                          </a:solidFill>
                          <a:ln w="25560">
                            <a:solidFill>
                              <a:srgbClr val="a7b789"/>
                            </a:solidFill>
                            <a:round/>
                          </a:ln>
                        </wps:spPr>
                        <wps:style>
                          <a:lnRef idx="0"/>
                          <a:fillRef idx="0"/>
                          <a:effectRef idx="0"/>
                          <a:fontRef idx="minor"/>
                        </wps:style>
                        <wps:txbx/>
                        <wps:bodyPr lIns="90000" rIns="36360" tIns="36360" bIns="36360" anchorCtr="1" vert="vert" rot="5400000">
                          <a:noAutofit/>
                        </wps:bodyPr>
                      </wps:wsp>
                      <wps:wsp>
                        <wps:cNvSpPr/>
                        <wps:spPr>
                          <a:xfrm>
                            <a:off x="406440" y="2811240"/>
                            <a:ext cx="7560" cy="3420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1" vert="vert" rot="5400000">
                          <a:noAutofit/>
                        </wps:bodyPr>
                      </wps:wsp>
                      <wps:wsp>
                        <wps:cNvSpPr/>
                        <wps:spPr>
                          <a:xfrm>
                            <a:off x="414720" y="2811240"/>
                            <a:ext cx="6840" cy="34200"/>
                          </a:xfrm>
                          <a:prstGeom prst="rect">
                            <a:avLst/>
                          </a:prstGeom>
                          <a:solidFill>
                            <a:srgbClr val="ffffff"/>
                          </a:solidFill>
                          <a:ln w="25560">
                            <a:solidFill>
                              <a:srgbClr val="a7b789"/>
                            </a:solidFill>
                            <a:round/>
                          </a:ln>
                        </wps:spPr>
                        <wps:style>
                          <a:lnRef idx="0"/>
                          <a:fillRef idx="0"/>
                          <a:effectRef idx="0"/>
                          <a:fontRef idx="minor"/>
                        </wps:style>
                        <wps:txbx/>
                        <wps:bodyPr lIns="90000" rIns="36360" tIns="36360" bIns="36360" anchorCtr="1" vert="vert" rot="5400000">
                          <a:noAutofit/>
                        </wps:bodyPr>
                      </wps:wsp>
                      <wps:wsp>
                        <wps:cNvSpPr/>
                        <wps:spPr>
                          <a:xfrm>
                            <a:off x="421560" y="2811960"/>
                            <a:ext cx="7560" cy="34200"/>
                          </a:xfrm>
                          <a:prstGeom prst="rect">
                            <a:avLst/>
                          </a:prstGeom>
                          <a:solidFill>
                            <a:srgbClr val="ffffff"/>
                          </a:solidFill>
                          <a:ln w="25560">
                            <a:solidFill>
                              <a:srgbClr val="a7b789"/>
                            </a:solidFill>
                            <a:round/>
                          </a:ln>
                        </wps:spPr>
                        <wps:style>
                          <a:lnRef idx="0"/>
                          <a:fillRef idx="0"/>
                          <a:effectRef idx="0"/>
                          <a:fontRef idx="minor"/>
                        </wps:style>
                        <wps:txbx/>
                        <wps:bodyPr lIns="90000" rIns="90000" tIns="45000" bIns="45000" anchorCtr="1" vert="vert" rot="5400000">
                          <a:noAutofit/>
                        </wps:bodyPr>
                      </wps:wsp>
                      <wps:wsp>
                        <wps:cNvSpPr/>
                        <wps:spPr>
                          <a:xfrm>
                            <a:off x="430560" y="2811960"/>
                            <a:ext cx="6840" cy="34200"/>
                          </a:xfrm>
                          <a:prstGeom prst="rect">
                            <a:avLst/>
                          </a:prstGeom>
                          <a:solidFill>
                            <a:srgbClr val="ffffff"/>
                          </a:solidFill>
                          <a:ln w="25560">
                            <a:solidFill>
                              <a:srgbClr val="a7b789"/>
                            </a:solidFill>
                            <a:round/>
                          </a:ln>
                        </wps:spPr>
                        <wps:style>
                          <a:lnRef idx="0"/>
                          <a:fillRef idx="0"/>
                          <a:effectRef idx="0"/>
                          <a:fontRef idx="minor"/>
                        </wps:style>
                        <wps:txbx/>
                        <wps:bodyPr lIns="90000" rIns="36360" tIns="36360" bIns="36360" anchorCtr="1" vert="vert" rot="5400000">
                          <a:noAutofit/>
                        </wps:bodyPr>
                      </wps:wsp>
                      <wps:wsp>
                        <wps:cNvSpPr/>
                        <wps:spPr>
                          <a:xfrm>
                            <a:off x="345960" y="285300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49200" y="285372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53160" y="2853000"/>
                            <a:ext cx="396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56760" y="285372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60720" y="2853000"/>
                            <a:ext cx="396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64320" y="2853000"/>
                            <a:ext cx="3240" cy="3492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68280" y="285300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71520" y="2853000"/>
                            <a:ext cx="3960" cy="3492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76560" y="2853000"/>
                            <a:ext cx="396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80520" y="2853000"/>
                            <a:ext cx="3240" cy="3492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84120" y="285300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87360" y="2853000"/>
                            <a:ext cx="3960" cy="3492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91680" y="285372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94920" y="2853720"/>
                            <a:ext cx="396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399240" y="285372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02480" y="285372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07520" y="2853000"/>
                            <a:ext cx="396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11480" y="2853000"/>
                            <a:ext cx="3240" cy="3492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15440" y="285300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18320" y="2853000"/>
                            <a:ext cx="3960" cy="3492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23000" y="2853720"/>
                            <a:ext cx="396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26600" y="285372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30560" y="2853720"/>
                            <a:ext cx="324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a:off x="433800" y="2853720"/>
                            <a:ext cx="3960" cy="34200"/>
                          </a:xfrm>
                          <a:prstGeom prst="rect">
                            <a:avLst/>
                          </a:prstGeom>
                          <a:solidFill>
                            <a:srgbClr val="ffffff"/>
                          </a:solidFill>
                          <a:ln w="25560">
                            <a:solidFill>
                              <a:srgbClr val="a7b789"/>
                            </a:solidFill>
                            <a:round/>
                          </a:ln>
                        </wps:spPr>
                        <wps:style>
                          <a:lnRef idx="0"/>
                          <a:fillRef idx="0"/>
                          <a:effectRef idx="0"/>
                          <a:fontRef idx="minor"/>
                        </wps:style>
                        <wps:txbx/>
                        <wps:bodyPr lIns="36360" rIns="36360" tIns="36360" bIns="36360" anchorCtr="1" vert="vert" rot="5400000">
                          <a:noAutofit/>
                        </wps:bodyPr>
                      </wps:wsp>
                      <wps:wsp>
                        <wps:cNvSpPr/>
                        <wps:spPr>
                          <a:xfrm rot="5400000">
                            <a:off x="329400" y="2715120"/>
                            <a:ext cx="9360" cy="3096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90600" y="2715120"/>
                            <a:ext cx="936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0000" y="2715120"/>
                            <a:ext cx="10080" cy="3096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0720" y="2744640"/>
                            <a:ext cx="720" cy="900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0" y="2744640"/>
                            <a:ext cx="5760" cy="900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423000" y="2744640"/>
                            <a:ext cx="720" cy="900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45960" y="2773080"/>
                            <a:ext cx="10080" cy="684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52440" y="2773080"/>
                            <a:ext cx="10080" cy="828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45960" y="2802960"/>
                            <a:ext cx="9000" cy="396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49920" y="2802960"/>
                            <a:ext cx="9000" cy="324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45600" y="2845440"/>
                            <a:ext cx="8280" cy="180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48120" y="2845440"/>
                            <a:ext cx="8280" cy="180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5676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748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39840" y="2696760"/>
                            <a:ext cx="7560" cy="180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42360" y="2696760"/>
                            <a:ext cx="8280" cy="180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5676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748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39840" y="2696760"/>
                            <a:ext cx="7560" cy="180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42360" y="2696760"/>
                            <a:ext cx="7560" cy="144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5676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748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39840" y="2696760"/>
                            <a:ext cx="6840" cy="180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42360" y="2696760"/>
                            <a:ext cx="7560" cy="180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5676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748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39840" y="2696760"/>
                            <a:ext cx="8280" cy="180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42360" y="2696760"/>
                            <a:ext cx="8280" cy="144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5676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7480" y="2803680"/>
                            <a:ext cx="720" cy="7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38400" y="2696760"/>
                            <a:ext cx="8280" cy="324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41640" y="2696760"/>
                            <a:ext cx="8280" cy="396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56400" y="28036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57480" y="28036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38400" y="2696760"/>
                            <a:ext cx="8280" cy="324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41640" y="2696760"/>
                            <a:ext cx="8280" cy="396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56400" y="28036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57480" y="2803680"/>
                            <a:ext cx="720" cy="72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38400" y="2696760"/>
                            <a:ext cx="8280" cy="324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41640" y="2696760"/>
                            <a:ext cx="8280" cy="3960"/>
                          </a:xfrm>
                          <a:prstGeom prst="bentConnector3">
                            <a:avLst>
                              <a:gd name="adj1" fmla="val 50000"/>
                            </a:avLst>
                          </a:prstGeom>
                          <a:noFill/>
                          <a:ln>
                            <a:solidFill>
                              <a:srgbClr val="6c6c71"/>
                            </a:solidFill>
                            <a:prstDash val="lgDashDot"/>
                            <a:round/>
                            <a:tailEnd len="med" type="triangle" w="me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shape_0" alt="Группа 148" style="position:absolute;margin-left:97.25pt;margin-top:228.8pt;width:34.6pt;height:442.2pt" coordorigin="1945,4576" coordsize="692,8844">
                <v:rect id="shape_0" stroked="f" style="position:absolute;left:2518;top:8998;width:0;height:0">
                  <w10:wrap type="none"/>
                  <v:fill o:detectmouseclick="t" on="false"/>
                  <v:stroke color="#3465a4" joinstyle="round" endcap="flat"/>
                </v:rect>
                <v:rect id="shape_0" fillcolor="white" stroked="t" style="position:absolute;left:2518;top:8088;width:0;height:1819">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Calibri" w:hAnsi="Calibri" w:eastAsia="Calibri"/>
                            <w:lang w:eastAsia="en-US"/>
                          </w:rPr>
                          <w:t>МИССИЯ</w:t>
                        </w:r>
                      </w:p>
                    </w:txbxContent>
                  </v:textbox>
                  <w10:wrap type="square"/>
                  <v:fill o:detectmouseclick="t" type="solid" color2="black"/>
                  <v:stroke color="#a7b789" weight="25560" joinstyle="round" endcap="flat"/>
                </v:rect>
                <v:rect id="shape_0" fillcolor="white" stroked="t" style="position:absolute;left:2518;top:4576;width:0;height:884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СТРАТЕГИЧЕСКИЙ ВЕКТОР РАЗВИТИЯ - 1</w:t>
                        </w:r>
                      </w:p>
                    </w:txbxContent>
                  </v:textbox>
                  <w10:wrap type="square"/>
                  <v:fill o:detectmouseclick="t" type="solid" color2="black"/>
                  <v:stroke color="#a7b789" weight="25560" joinstyle="round" endcap="flat"/>
                </v:rect>
                <v:rect id="shape_0" fillcolor="white" stroked="t" style="position:absolute;left:2518;top:4576;width:0;height:884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СТРАТЕГИЧЕСКИЙ ВЕКТОР РАЗВИТИЯ - 2</w:t>
                        </w:r>
                      </w:p>
                    </w:txbxContent>
                  </v:textbox>
                  <w10:wrap type="square"/>
                  <v:fill o:detectmouseclick="t" type="solid" color2="black"/>
                  <v:stroke color="#a7b789" weight="25560" joinstyle="round" endcap="flat"/>
                </v:rect>
                <v:rect id="shape_0" fillcolor="white" stroked="t" style="position:absolute;left:2518;top:4576;width:0;height:8843">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СТРАТЕГИЧЕСКИЙ ВЕКТОР РАЗВИТИЯ - 3</w:t>
                        </w:r>
                      </w:p>
                    </w:txbxContent>
                  </v:textbox>
                  <w10:wrap type="square"/>
                  <v:fill o:detectmouseclick="t" type="solid" color2="black"/>
                  <v:stroke color="#a7b789" weight="25560" joinstyle="round" endcap="flat"/>
                </v:rect>
                <v:rect id="shape_0" fillcolor="white" stroked="t" style="position:absolute;left:2518;top:5985;width:0;height:6027">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СТРАТЕГИЧЕСКАЯ ЦЕЛЬ - 1</w:t>
                        </w:r>
                      </w:p>
                    </w:txbxContent>
                  </v:textbox>
                  <w10:wrap type="square"/>
                  <v:fill o:detectmouseclick="t" type="solid" color2="black"/>
                  <v:stroke color="#a7b789" weight="25560" joinstyle="round" endcap="flat"/>
                </v:rect>
                <v:rect id="shape_0" fillcolor="white" stroked="t" style="position:absolute;left:2518;top:5985;width:0;height:6027">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СТРАТЕГИЧЕСКАЯ ЦЕЛЬ - 2</w:t>
                        </w:r>
                      </w:p>
                    </w:txbxContent>
                  </v:textbox>
                  <w10:wrap type="square"/>
                  <v:fill o:detectmouseclick="t" type="solid" color2="black"/>
                  <v:stroke color="#a7b789" weight="25560" joinstyle="round" endcap="flat"/>
                </v:rect>
                <v:rect id="shape_0" fillcolor="white" stroked="t" style="position:absolute;left:2518;top:5985;width:0;height:6027">
                  <v:textbox>
                    <w:txbxContent>
                      <w:p>
                        <w:pPr>
                          <w:overflowPunct w:val="false"/>
                          <w:spacing w:before="0" w:after="0" w:lineRule="auto" w:line="240"/>
                          <w:jc w:val="center"/>
                          <w:rPr/>
                        </w:pPr>
                        <w:r>
                          <w:rPr>
                            <w:sz w:val="22"/>
                            <w:b w:val="false"/>
                            <w:u w:val="none"/>
                            <w:dstrike w:val="false"/>
                            <w:strike w:val="false"/>
                            <w:i w:val="false"/>
                            <w:vertAlign w:val="baseline"/>
                            <w:position w:val="0"/>
                            <w:spacing w:val="0"/>
                            <w:szCs w:val="22"/>
                            <w:bCs w:val="false"/>
                            <w:iCs w:val="false"/>
                            <w:smallCaps w:val="false"/>
                            <w:caps w:val="false"/>
                            <w:rFonts w:cs="" w:cstheme="minorBidi" w:ascii="Calibri" w:hAnsi="Calibri" w:eastAsia="Calibri"/>
                            <w:lang w:eastAsia="en-US"/>
                          </w:rPr>
                          <w:t>СТРАТЕГИЧЕСКАЯ ЦЕЛЬ - 3</w:t>
                        </w:r>
                      </w:p>
                    </w:txbxContent>
                  </v:textbox>
                  <w10:wrap type="square"/>
                  <v:fill o:detectmouseclick="t" type="solid" color2="black"/>
                  <v:stroke color="#a7b789" weight="25560" joinstyle="round" endcap="flat"/>
                </v:rect>
                <v:rect id="shape_0" fillcolor="white" stroked="t" style="position:absolute;left:2518;top:7563;width:0;height:2869">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1.1</w:t>
                        </w:r>
                      </w:p>
                    </w:txbxContent>
                  </v:textbox>
                  <w10:wrap type="square"/>
                  <v:fill o:detectmouseclick="t" type="solid" color2="black"/>
                  <v:stroke color="#a7b789" weight="25560" joinstyle="round" endcap="flat"/>
                </v:rect>
                <v:rect id="shape_0" fillcolor="white" stroked="t" style="position:absolute;left:2518;top:7563;width:0;height:2869">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1.2</w:t>
                        </w:r>
                      </w:p>
                    </w:txbxContent>
                  </v:textbox>
                  <w10:wrap type="square"/>
                  <v:fill o:detectmouseclick="t" type="solid" color2="black"/>
                  <v:stroke color="#a7b789" weight="25560" joinstyle="round" endcap="flat"/>
                </v:rect>
                <v:rect id="shape_0" fillcolor="white" stroked="t" style="position:absolute;left:2518;top:7563;width:0;height:2869">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2.1</w:t>
                        </w:r>
                      </w:p>
                    </w:txbxContent>
                  </v:textbox>
                  <w10:wrap type="square"/>
                  <v:fill o:detectmouseclick="t" type="solid" color2="black"/>
                  <v:stroke color="#a7b789" weight="25560" joinstyle="round" endcap="flat"/>
                </v:rect>
                <v:rect id="shape_0" fillcolor="white" stroked="t" style="position:absolute;left:2518;top:7773;width:0;height:2449">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7563;width:0;height:2869">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3.1</w:t>
                        </w:r>
                      </w:p>
                    </w:txbxContent>
                  </v:textbox>
                  <w10:wrap type="square"/>
                  <v:fill o:detectmouseclick="t" type="solid" color2="black"/>
                  <v:stroke color="#a7b789" weight="25560" joinstyle="round" endcap="flat"/>
                </v:rect>
                <v:rect id="shape_0" fillcolor="white" stroked="t" style="position:absolute;left:2518;top:7773;width:0;height:2449">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 xml:space="preserve">ПРИОРИТЕТ </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1.1.1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1.2.1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2.1.1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3.1.1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ПОДЦЕЛЬ</w:t>
                        </w:r>
                      </w:p>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- 1</w:t>
                        </w:r>
                      </w:p>
                    </w:txbxContent>
                  </v:textbox>
                  <w10:wrap type="square"/>
                  <v:fill o:detectmouseclick="t" type="solid" color2="black"/>
                  <v:stroke color="#a7b789" weight="25560" joinstyle="round" endcap="flat"/>
                </v:rect>
                <v:rect id="shape_0" fillcolor="white" stroked="t" style="position:absolute;left:2518;top:8998;width:0;height:0">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cs="" w:cstheme="minorBidi" w:ascii="Calibri" w:hAnsi="Calibri" w:eastAsia="Calibri"/>
                            <w:lang w:eastAsia="en-US"/>
                          </w:rPr>
                          <w:t>ЗАДАЧА - ..</w:t>
                        </w:r>
                      </w:p>
                    </w:txbxContent>
                  </v:textbox>
                  <w10:wrap type="square"/>
                  <v:fill o:detectmouseclick="t" type="solid" color2="black"/>
                  <v:stroke color="#a7b789" weight="25560" joinstyle="round" endcap="flat"/>
                </v:rect>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f6f74"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flip:x;rotation:90" type="shapetype_34">
                  <w10:wrap type="none"/>
                  <v:fill o:detectmouseclick="t" on="false"/>
                  <v:stroke color="black"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18;top:8998;width:0;height:0">
                  <w10:wrap type="none"/>
                  <v:fill o:detectmouseclick="t" on="false"/>
                  <v:stroke color="#3465a4"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f6f74"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flip:x;rotation:90" type="shapetype_34">
                  <w10:wrap type="none"/>
                  <v:fill o:detectmouseclick="t" on="false"/>
                  <v:stroke color="black"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18;top:8998;width:0;height:0">
                  <w10:wrap type="none"/>
                  <v:fill o:detectmouseclick="t" on="false"/>
                  <v:stroke color="#3465a4"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f6f74"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flip:x;rotation:90" type="shapetype_34">
                  <w10:wrap type="none"/>
                  <v:fill o:detectmouseclick="t" on="false"/>
                  <v:stroke color="black"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18;top:8998;width:0;height:0">
                  <w10:wrap type="none"/>
                  <v:fill o:detectmouseclick="t" on="false"/>
                  <v:stroke color="#3465a4"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f6f74"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flip:x;rotation:90" type="shapetype_34">
                  <w10:wrap type="none"/>
                  <v:fill o:detectmouseclick="t" on="false"/>
                  <v:stroke color="black"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18;top:8998;width:0;height:0">
                  <w10:wrap type="none"/>
                  <v:fill o:detectmouseclick="t" on="false"/>
                  <v:stroke color="#3465a4"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f6f74"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flip:x;rotation:90" type="shapetype_34">
                  <w10:wrap type="none"/>
                  <v:fill o:detectmouseclick="t" on="false"/>
                  <v:stroke color="black"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18;top:8998;width:0;height:0">
                  <w10:wrap type="none"/>
                  <v:fill o:detectmouseclick="t" on="false"/>
                  <v:stroke color="#3465a4"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f6f74"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69696d" endarrow="block" endarrowwidth="medium" endarrowlength="medium" joinstyle="round" endcap="flat"/>
                </v:shape>
                <v:shape id="shape_0" stroked="t" style="position:absolute;left:2518;top:8998;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flip:x;rotation:90" type="shapetype_34">
                  <w10:wrap type="none"/>
                  <v:fill o:detectmouseclick="t" on="false"/>
                  <v:stroke color="black"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8;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18;top:8998;width:0;height:0;flip:x;rotation:90" type="shapetype_34">
                  <w10:wrap type="none"/>
                  <v:fill o:detectmouseclick="t" on="false"/>
                  <v:stroke color="#6c6c71" weight="9360" dashstyle="longdashdot"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18;top:8997;width:0;height:0;flip:x;rotation:90" type="shapetype_34">
                  <w10:wrap type="none"/>
                  <v:fill o:detectmouseclick="t" on="false"/>
                  <v:stroke color="#6c6c71" weight="9360" dashstyle="longdashdot" endarrow="block" endarrowwidth="medium" endarrowlength="medium" joinstyle="round" endcap="flat"/>
                </v:shape>
                <v:rect id="shape_0" stroked="f" style="position:absolute;left:2518;top:8997;width:0;height:0">
                  <w10:wrap type="none"/>
                  <v:fill o:detectmouseclick="t" on="false"/>
                  <v:stroke color="#3465a4"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7;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9;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8;top:8998;width:0;height:0">
                  <w10:wrap type="none"/>
                  <v:fill o:detectmouseclick="t" type="solid" color2="black"/>
                  <v:stroke color="#a7b789" weight="25560" joinstyle="round" endcap="flat"/>
                </v:rect>
                <v:rect id="shape_0" fillcolor="white" stroked="t" style="position:absolute;left:2519;top:8998;width:0;height:0">
                  <w10:wrap type="none"/>
                  <v:fill o:detectmouseclick="t" type="solid" color2="black"/>
                  <v:stroke color="#a7b789" weight="25560" joinstyle="round" endcap="flat"/>
                </v:rect>
                <v:rect id="shape_0" fillcolor="white" stroked="t" style="position:absolute;left:2519;top:8998;width:0;height:0">
                  <w10:wrap type="none"/>
                  <v:fill o:detectmouseclick="t" type="solid" color2="black"/>
                  <v:stroke color="#a7b789" weight="25560" joinstyle="round" endcap="flat"/>
                </v:rect>
                <v:shape id="shape_0" stroked="t" style="position:absolute;left:2518;top:8997;width:0;height:0;rotation:90" type="shapetype_34">
                  <w10:wrap type="none"/>
                  <v:fill o:detectmouseclick="t" on="false"/>
                  <v:stroke color="black" endarrow="block" endarrowwidth="medium" endarrowlength="medium" joinstyle="round" endcap="flat"/>
                </v:shape>
                <v:shape id="shape_0" stroked="t" style="position:absolute;left:2518;top:8997;width:0;height:0;rotation:90" type="shapetype_34">
                  <w10:wrap type="none"/>
                  <v:fill o:detectmouseclick="t" on="false"/>
                  <v:stroke color="#69696d" endarrow="block" endarrowwidth="medium" endarrowlength="medium" joinstyle="round" endcap="flat"/>
                </v:shape>
                <v:shape id="shape_0" stroked="t" style="position:absolute;left:2518;top:8997;width:0;height:0;flip:x;rotation:90" type="shapetype_34">
                  <w10:wrap type="none"/>
                  <v:fill o:detectmouseclick="t" on="false"/>
                  <v:stroke color="#6f6f74" endarrow="block" endarrowwidth="medium" endarrowlength="medium" joinstyle="round" endcap="flat"/>
                </v:shape>
                <v:shape id="shape_0" stroked="t" style="position:absolute;left:2518;top:8997;width:0;height:0;rotation:90" type="shapetype_34">
                  <w10:wrap type="none"/>
                  <v:fill o:detectmouseclick="t" on="false"/>
                  <v:stroke color="#69696d" endarrow="block" endarrowwidth="medium" endarrowlength="medium" joinstyle="round" endcap="flat"/>
                </v:shape>
                <v:shape id="shape_0" stroked="t" style="position:absolute;left:2518;top:8997;width:0;height:0;flip:x;rotation:90" type="shapetype_34">
                  <w10:wrap type="none"/>
                  <v:fill o:detectmouseclick="t" on="false"/>
                  <v:stroke color="#69696d" endarrow="block" endarrowwidth="medium" endarrowlength="medium" joinstyle="round" endcap="flat"/>
                </v:shape>
                <v:shape id="shape_0" stroked="t" style="position:absolute;left:2517;top:8997;width:0;height:0;rotation:90" type="shapetype_34">
                  <w10:wrap type="none"/>
                  <v:fill o:detectmouseclick="t" on="false"/>
                  <v:stroke color="#69696d" endarrow="block" endarrowwidth="medium" endarrowlength="medium" joinstyle="round" endcap="flat"/>
                </v:shape>
                <v:shape id="shape_0" stroked="t" style="position:absolute;left:2518;top:8997;width:0;height:0;flip:x;rotation:90" type="shapetype_34">
                  <w10:wrap type="none"/>
                  <v:fill o:detectmouseclick="t" on="false"/>
                  <v:stroke color="#69696d" endarrow="block" endarrowwidth="medium" endarrowlength="medium" joinstyle="round" endcap="flat"/>
                </v:shape>
                <v:shape id="shape_0" stroked="t" style="position:absolute;left:2518;top:8998;width:0;height:0;rotation:90" type="shapetype_34">
                  <w10:wrap type="none"/>
                  <v:fill o:detectmouseclick="t" on="false"/>
                  <v:stroke color="black" endarrow="block" endarrowwidth="medium" endarrowlength="medium" joinstyle="round" endcap="flat"/>
                </v:shape>
                <v:shape id="shape_0" stroked="t" style="position:absolute;left:2518;top:8998;width:0;height:0;flip:x;rotation:90" type="shapetype_34">
                  <w10:wrap type="none"/>
                  <v:fill o:detectmouseclick="t" on="false"/>
                  <v:stroke color="black"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8;top:8997;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18;top:8997;width:0;height:0;flip:x;rotation:90" type="shapetype_34">
                  <w10:wrap type="none"/>
                  <v:fill o:detectmouseclick="t" on="false"/>
                  <v:stroke color="#6c6c71" weight="9360" dashstyle="longdashdot" endarrow="block" endarrowwidth="medium" endarrowlength="medium" joinstyle="round" endcap="flat"/>
                </v:shape>
                <v:shape id="shape_0" stroked="t" style="position:absolute;left:2518;top:8997;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18;top:8997;width:0;height:0;flip:x;rotation:90" type="shapetype_34">
                  <w10:wrap type="none"/>
                  <v:fill o:detectmouseclick="t" on="false"/>
                  <v:stroke color="#6c6c71" weight="9360" dashstyle="longdashdot" endarrow="block" endarrowwidth="medium" endarrowlength="medium" joinstyle="round" endcap="flat"/>
                </v:shape>
                <v:rect id="shape_0" stroked="f" style="position:absolute;left:2484;top:8823;width:152;height:307">
                  <w10:wrap type="none"/>
                  <v:fill o:detectmouseclick="t" on="false"/>
                  <v:stroke color="#3465a4" joinstyle="round" endcap="flat"/>
                </v:rect>
                <v:rect id="shape_0" fillcolor="white" stroked="t" style="position:absolute;left:2488;top:8823;width:145;height:26">
                  <w10:wrap type="square"/>
                  <v:fill o:detectmouseclick="t" type="solid" color2="black"/>
                  <v:stroke color="#a7b789" weight="25560" joinstyle="round" endcap="flat"/>
                </v:rect>
                <v:rect id="shape_0" fillcolor="white" stroked="t" style="position:absolute;left:2491;top:8865;width:45;height:31">
                  <w10:wrap type="square"/>
                  <v:fill o:detectmouseclick="t" type="solid" color2="black"/>
                  <v:stroke color="#a7b789" weight="25560" joinstyle="round" endcap="flat"/>
                </v:rect>
                <v:rect id="shape_0" fillcolor="white" stroked="t" style="position:absolute;left:2539;top:8865;width:46;height:31">
                  <w10:wrap type="square"/>
                  <v:fill o:detectmouseclick="t" type="solid" color2="black"/>
                  <v:stroke color="#a7b789" weight="25560" joinstyle="round" endcap="flat"/>
                </v:rect>
                <v:rect id="shape_0" fillcolor="white" stroked="t" style="position:absolute;left:2589;top:8865;width:45;height:31">
                  <w10:wrap type="square"/>
                  <v:fill o:detectmouseclick="t" type="solid" color2="black"/>
                  <v:stroke color="#a7b789" weight="25560" joinstyle="round" endcap="flat"/>
                </v:rect>
                <v:rect id="shape_0" fillcolor="white" stroked="t" style="position:absolute;left:2491;top:8910;width:45;height:31">
                  <w10:wrap type="square"/>
                  <v:fill o:detectmouseclick="t" type="solid" color2="black"/>
                  <v:stroke color="#a7b789" weight="25560" joinstyle="round" endcap="flat"/>
                </v:rect>
                <v:rect id="shape_0" fillcolor="white" stroked="t" style="position:absolute;left:2539;top:8910;width:46;height:31">
                  <w10:wrap type="square"/>
                  <v:fill o:detectmouseclick="t" type="solid" color2="black"/>
                  <v:stroke color="#a7b789" weight="25560" joinstyle="round" endcap="flat"/>
                </v:rect>
                <v:rect id="shape_0" fillcolor="white" stroked="t" style="position:absolute;left:2589;top:8910;width:45;height:31">
                  <w10:wrap type="square"/>
                  <v:fill o:detectmouseclick="t" type="solid" color2="black"/>
                  <v:stroke color="#a7b789" weight="25560" joinstyle="round" endcap="flat"/>
                </v:rect>
                <v:rect id="shape_0" fillcolor="white" stroked="t" style="position:absolute;left:2491;top:8957;width:22;height:31">
                  <w10:wrap type="square"/>
                  <v:fill o:detectmouseclick="t" type="solid" color2="black"/>
                  <v:stroke color="#a7b789" weight="25560" joinstyle="round" endcap="flat"/>
                </v:rect>
                <v:rect id="shape_0" fillcolor="white" stroked="t" style="position:absolute;left:2515;top:8957;width:21;height:31">
                  <w10:wrap type="square"/>
                  <v:fill o:detectmouseclick="t" type="solid" color2="black"/>
                  <v:stroke color="#a7b789" weight="25560" joinstyle="round" endcap="flat"/>
                </v:rect>
                <v:rect id="shape_0" fillcolor="white" stroked="t" style="position:absolute;left:2539;top:8957;width:22;height:31">
                  <w10:wrap type="square"/>
                  <v:fill o:detectmouseclick="t" type="solid" color2="black"/>
                  <v:stroke color="#a7b789" weight="25560" joinstyle="round" endcap="flat"/>
                </v:rect>
                <v:rect id="shape_0" fillcolor="white" stroked="t" style="position:absolute;left:2564;top:8957;width:21;height:31">
                  <w10:wrap type="square"/>
                  <v:fill o:detectmouseclick="t" type="solid" color2="black"/>
                  <v:stroke color="#a7b789" weight="25560" joinstyle="round" endcap="flat"/>
                </v:rect>
                <v:rect id="shape_0" fillcolor="white" stroked="t" style="position:absolute;left:2589;top:8957;width:21;height:31">
                  <w10:wrap type="square"/>
                  <v:fill o:detectmouseclick="t" type="solid" color2="black"/>
                  <v:stroke color="#a7b789" weight="25560" joinstyle="round" endcap="flat"/>
                </v:rect>
                <v:rect id="shape_0" fillcolor="white" stroked="t" style="position:absolute;left:2614;top:8957;width:21;height:31">
                  <w10:wrap type="square"/>
                  <v:fill o:detectmouseclick="t" type="solid" color2="black"/>
                  <v:stroke color="#a7b789" weight="25560" joinstyle="round" endcap="flat"/>
                </v:rect>
                <v:rect id="shape_0" fillcolor="white" stroked="t" style="position:absolute;left:2489;top:9003;width:11;height:53">
                  <w10:wrap type="square"/>
                  <v:fill o:detectmouseclick="t" type="solid" color2="black"/>
                  <v:stroke color="#a7b789" weight="25560" joinstyle="round" endcap="flat"/>
                </v:rect>
                <v:rect id="shape_0" fillcolor="white" stroked="t" style="position:absolute;left:2500;top:9003;width:11;height:53">
                  <w10:wrap type="square"/>
                  <v:fill o:detectmouseclick="t" type="solid" color2="black"/>
                  <v:stroke color="#a7b789" weight="25560" joinstyle="round" endcap="flat"/>
                </v:rect>
                <v:rect id="shape_0" fillcolor="white" stroked="t" style="position:absolute;left:2512;top:9003;width:11;height:53">
                  <w10:wrap type="square"/>
                  <v:fill o:detectmouseclick="t" type="solid" color2="black"/>
                  <v:stroke color="#a7b789" weight="25560" joinstyle="round" endcap="flat"/>
                </v:rect>
                <v:rect id="shape_0" fillcolor="white" stroked="t" style="position:absolute;left:2525;top:9003;width:11;height:53">
                  <w10:wrap type="square"/>
                  <v:fill o:detectmouseclick="t" type="solid" color2="black"/>
                  <v:stroke color="#a7b789" weight="25560" joinstyle="round" endcap="flat"/>
                </v:rect>
                <v:rect id="shape_0" fillcolor="white" stroked="t" style="position:absolute;left:2537;top:9003;width:11;height:53">
                  <w10:wrap type="square"/>
                  <v:fill o:detectmouseclick="t" type="solid" color2="black"/>
                  <v:stroke color="#a7b789" weight="25560" joinstyle="round" endcap="flat"/>
                </v:rect>
                <v:rect id="shape_0" fillcolor="white" stroked="t" style="position:absolute;left:2550;top:9003;width:10;height:53">
                  <w10:wrap type="square"/>
                  <v:fill o:detectmouseclick="t" type="solid" color2="black"/>
                  <v:stroke color="#a7b789" weight="25560" joinstyle="round" endcap="flat"/>
                </v:rect>
                <v:rect id="shape_0" fillcolor="white" stroked="t" style="position:absolute;left:2563;top:9003;width:10;height:53">
                  <w10:wrap type="square"/>
                  <v:fill o:detectmouseclick="t" type="solid" color2="black"/>
                  <v:stroke color="#a7b789" weight="25560" joinstyle="round" endcap="flat"/>
                </v:rect>
                <v:rect id="shape_0" fillcolor="white" stroked="t" style="position:absolute;left:2574;top:9003;width:10;height:53">
                  <w10:wrap type="square"/>
                  <v:fill o:detectmouseclick="t" type="solid" color2="black"/>
                  <v:stroke color="#a7b789" weight="25560" joinstyle="round" endcap="flat"/>
                </v:rect>
                <v:rect id="shape_0" fillcolor="white" stroked="t" style="position:absolute;left:2586;top:9003;width:11;height:53">
                  <w10:wrap type="square"/>
                  <v:fill o:detectmouseclick="t" type="solid" color2="black"/>
                  <v:stroke color="#a7b789" weight="25560" joinstyle="round" endcap="flat"/>
                </v:rect>
                <v:rect id="shape_0" fillcolor="white" stroked="t" style="position:absolute;left:2599;top:9003;width:10;height:53">
                  <w10:wrap type="square"/>
                  <v:fill o:detectmouseclick="t" type="solid" color2="black"/>
                  <v:stroke color="#a7b789" weight="25560" joinstyle="round" endcap="flat"/>
                </v:rect>
                <v:rect id="shape_0" fillcolor="white" stroked="t" style="position:absolute;left:2610;top:9005;width:11;height:53">
                  <w10:wrap type="square"/>
                  <v:fill o:detectmouseclick="t" type="solid" color2="black"/>
                  <v:stroke color="#a7b789" weight="25560" joinstyle="round" endcap="flat"/>
                </v:rect>
                <v:rect id="shape_0" fillcolor="white" stroked="t" style="position:absolute;left:2624;top:9005;width:10;height:53">
                  <w10:wrap type="square"/>
                  <v:fill o:detectmouseclick="t" type="solid" color2="black"/>
                  <v:stroke color="#a7b789" weight="25560" joinstyle="round" endcap="flat"/>
                </v:rect>
                <v:rect id="shape_0" fillcolor="white" stroked="t" style="position:absolute;left:2491;top:9069;width:4;height:53">
                  <w10:wrap type="square"/>
                  <v:fill o:detectmouseclick="t" type="solid" color2="black"/>
                  <v:stroke color="#a7b789" weight="25560" joinstyle="round" endcap="flat"/>
                </v:rect>
                <v:rect id="shape_0" fillcolor="white" stroked="t" style="position:absolute;left:2496;top:9070;width:4;height:53">
                  <w10:wrap type="square"/>
                  <v:fill o:detectmouseclick="t" type="solid" color2="black"/>
                  <v:stroke color="#a7b789" weight="25560" joinstyle="round" endcap="flat"/>
                </v:rect>
                <v:rect id="shape_0" fillcolor="white" stroked="t" style="position:absolute;left:2502;top:9069;width:5;height:53">
                  <w10:wrap type="square"/>
                  <v:fill o:detectmouseclick="t" type="solid" color2="black"/>
                  <v:stroke color="#a7b789" weight="25560" joinstyle="round" endcap="flat"/>
                </v:rect>
                <v:rect id="shape_0" fillcolor="white" stroked="t" style="position:absolute;left:2508;top:9070;width:4;height:53">
                  <w10:wrap type="square"/>
                  <v:fill o:detectmouseclick="t" type="solid" color2="black"/>
                  <v:stroke color="#a7b789" weight="25560" joinstyle="round" endcap="flat"/>
                </v:rect>
                <v:rect id="shape_0" fillcolor="white" stroked="t" style="position:absolute;left:2514;top:9069;width:5;height:53">
                  <w10:wrap type="square"/>
                  <v:fill o:detectmouseclick="t" type="solid" color2="black"/>
                  <v:stroke color="#a7b789" weight="25560" joinstyle="round" endcap="flat"/>
                </v:rect>
                <v:rect id="shape_0" fillcolor="white" stroked="t" style="position:absolute;left:2520;top:9069;width:4;height:54">
                  <w10:wrap type="square"/>
                  <v:fill o:detectmouseclick="t" type="solid" color2="black"/>
                  <v:stroke color="#a7b789" weight="25560" joinstyle="round" endcap="flat"/>
                </v:rect>
                <v:rect id="shape_0" fillcolor="white" stroked="t" style="position:absolute;left:2526;top:9069;width:4;height:53">
                  <w10:wrap type="square"/>
                  <v:fill o:detectmouseclick="t" type="solid" color2="black"/>
                  <v:stroke color="#a7b789" weight="25560" joinstyle="round" endcap="flat"/>
                </v:rect>
                <v:rect id="shape_0" fillcolor="white" stroked="t" style="position:absolute;left:2531;top:9069;width:5;height:54">
                  <w10:wrap type="square"/>
                  <v:fill o:detectmouseclick="t" type="solid" color2="black"/>
                  <v:stroke color="#a7b789" weight="25560" joinstyle="round" endcap="flat"/>
                </v:rect>
                <v:rect id="shape_0" fillcolor="white" stroked="t" style="position:absolute;left:2539;top:9069;width:5;height:53">
                  <w10:wrap type="square"/>
                  <v:fill o:detectmouseclick="t" type="solid" color2="black"/>
                  <v:stroke color="#a7b789" weight="25560" joinstyle="round" endcap="flat"/>
                </v:rect>
                <v:rect id="shape_0" fillcolor="white" stroked="t" style="position:absolute;left:2546;top:9069;width:4;height:54">
                  <w10:wrap type="square"/>
                  <v:fill o:detectmouseclick="t" type="solid" color2="black"/>
                  <v:stroke color="#a7b789" weight="25560" joinstyle="round" endcap="flat"/>
                </v:rect>
                <v:rect id="shape_0" fillcolor="white" stroked="t" style="position:absolute;left:2551;top:9069;width:4;height:53">
                  <w10:wrap type="square"/>
                  <v:fill o:detectmouseclick="t" type="solid" color2="black"/>
                  <v:stroke color="#a7b789" weight="25560" joinstyle="round" endcap="flat"/>
                </v:rect>
                <v:rect id="shape_0" fillcolor="white" stroked="t" style="position:absolute;left:2556;top:9069;width:5;height:54">
                  <w10:wrap type="square"/>
                  <v:fill o:detectmouseclick="t" type="solid" color2="black"/>
                  <v:stroke color="#a7b789" weight="25560" joinstyle="round" endcap="flat"/>
                </v:rect>
                <v:rect id="shape_0" fillcolor="white" stroked="t" style="position:absolute;left:2563;top:9070;width:4;height:53">
                  <w10:wrap type="square"/>
                  <v:fill o:detectmouseclick="t" type="solid" color2="black"/>
                  <v:stroke color="#a7b789" weight="25560" joinstyle="round" endcap="flat"/>
                </v:rect>
                <v:rect id="shape_0" fillcolor="white" stroked="t" style="position:absolute;left:2568;top:9070;width:5;height:53">
                  <w10:wrap type="square"/>
                  <v:fill o:detectmouseclick="t" type="solid" color2="black"/>
                  <v:stroke color="#a7b789" weight="25560" joinstyle="round" endcap="flat"/>
                </v:rect>
                <v:rect id="shape_0" fillcolor="white" stroked="t" style="position:absolute;left:2575;top:9070;width:4;height:53">
                  <w10:wrap type="square"/>
                  <v:fill o:detectmouseclick="t" type="solid" color2="black"/>
                  <v:stroke color="#a7b789" weight="25560" joinstyle="round" endcap="flat"/>
                </v:rect>
                <v:rect id="shape_0" fillcolor="white" stroked="t" style="position:absolute;left:2580;top:9070;width:4;height:53">
                  <w10:wrap type="square"/>
                  <v:fill o:detectmouseclick="t" type="solid" color2="black"/>
                  <v:stroke color="#a7b789" weight="25560" joinstyle="round" endcap="flat"/>
                </v:rect>
                <v:rect id="shape_0" fillcolor="white" stroked="t" style="position:absolute;left:2588;top:9069;width:5;height:53">
                  <w10:wrap type="square"/>
                  <v:fill o:detectmouseclick="t" type="solid" color2="black"/>
                  <v:stroke color="#a7b789" weight="25560" joinstyle="round" endcap="flat"/>
                </v:rect>
                <v:rect id="shape_0" fillcolor="white" stroked="t" style="position:absolute;left:2594;top:9069;width:4;height:54">
                  <w10:wrap type="square"/>
                  <v:fill o:detectmouseclick="t" type="solid" color2="black"/>
                  <v:stroke color="#a7b789" weight="25560" joinstyle="round" endcap="flat"/>
                </v:rect>
                <v:rect id="shape_0" fillcolor="white" stroked="t" style="position:absolute;left:2601;top:9069;width:4;height:53">
                  <w10:wrap type="square"/>
                  <v:fill o:detectmouseclick="t" type="solid" color2="black"/>
                  <v:stroke color="#a7b789" weight="25560" joinstyle="round" endcap="flat"/>
                </v:rect>
                <v:rect id="shape_0" fillcolor="white" stroked="t" style="position:absolute;left:2605;top:9069;width:5;height:54">
                  <w10:wrap type="square"/>
                  <v:fill o:detectmouseclick="t" type="solid" color2="black"/>
                  <v:stroke color="#a7b789" weight="25560" joinstyle="round" endcap="flat"/>
                </v:rect>
                <v:rect id="shape_0" fillcolor="white" stroked="t" style="position:absolute;left:2612;top:9070;width:5;height:53">
                  <w10:wrap type="square"/>
                  <v:fill o:detectmouseclick="t" type="solid" color2="black"/>
                  <v:stroke color="#a7b789" weight="25560" joinstyle="round" endcap="flat"/>
                </v:rect>
                <v:rect id="shape_0" fillcolor="white" stroked="t" style="position:absolute;left:2618;top:9070;width:4;height:53">
                  <w10:wrap type="square"/>
                  <v:fill o:detectmouseclick="t" type="solid" color2="black"/>
                  <v:stroke color="#a7b789" weight="25560" joinstyle="round" endcap="flat"/>
                </v:rect>
                <v:rect id="shape_0" fillcolor="white" stroked="t" style="position:absolute;left:2624;top:9070;width:4;height:53">
                  <w10:wrap type="square"/>
                  <v:fill o:detectmouseclick="t" type="solid" color2="black"/>
                  <v:stroke color="#a7b789" weight="25560" joinstyle="round" endcap="flat"/>
                </v:rect>
                <v:rect id="shape_0" fillcolor="white" stroked="t" style="position:absolute;left:2629;top:9070;width:5;height:53">
                  <w10:wrap type="square"/>
                  <v:fill o:detectmouseclick="t" type="solid" color2="black"/>
                  <v:stroke color="#a7b789" weight="25560" joinstyle="round" endcap="flat"/>
                </v:rect>
                <v:shape id="shape_0" stroked="t" style="position:absolute;left:2482;top:8836;width:14;height:48;rotation:90" type="shapetype_34">
                  <w10:wrap type="none"/>
                  <v:fill o:detectmouseclick="t" on="false"/>
                  <v:stroke color="black" endarrow="block" endarrowwidth="medium" endarrowlength="medium" joinstyle="round" endcap="flat"/>
                </v:shape>
                <v:shape id="shape_0" stroked="t" style="position:absolute;left:2555;top:8859;width:14;height:0;rotation:90" type="shapetype_34">
                  <w10:wrap type="none"/>
                  <v:fill o:detectmouseclick="t" on="false"/>
                  <v:stroke color="#69696d" endarrow="block" endarrowwidth="medium" endarrowlength="medium" joinstyle="round" endcap="flat"/>
                </v:shape>
                <v:shape id="shape_0" stroked="t" style="position:absolute;left:2529;top:8836;width:15;height:48;flip:x;rotation:90" type="shapetype_34">
                  <w10:wrap type="none"/>
                  <v:fill o:detectmouseclick="t" on="false"/>
                  <v:stroke color="#6f6f74" endarrow="block" endarrowwidth="medium" endarrowlength="medium" joinstyle="round" endcap="flat"/>
                </v:shape>
                <v:shape id="shape_0" stroked="t" style="position:absolute;left:2489;top:8945;width:15;height:10;rotation:90" type="shapetype_34">
                  <w10:wrap type="none"/>
                  <v:fill o:detectmouseclick="t" on="false"/>
                  <v:stroke color="#69696d" endarrow="block" endarrowwidth="medium" endarrowlength="medium" joinstyle="round" endcap="flat"/>
                </v:shape>
                <v:shape id="shape_0" stroked="t" style="position:absolute;left:2500;top:8944;width:15;height:12;flip:x;rotation:90" type="shapetype_34">
                  <w10:wrap type="none"/>
                  <v:fill o:detectmouseclick="t" on="false"/>
                  <v:stroke color="#69696d" endarrow="block" endarrowwidth="medium" endarrowlength="medium" joinstyle="round" endcap="flat"/>
                </v:shape>
                <v:shape id="shape_0" stroked="t" style="position:absolute;left:2488;top:8994;width:13;height:5;rotation:90" type="shapetype_34">
                  <w10:wrap type="none"/>
                  <v:fill o:detectmouseclick="t" on="false"/>
                  <v:stroke color="#69696d" endarrow="block" endarrowwidth="medium" endarrowlength="medium" joinstyle="round" endcap="flat"/>
                </v:shape>
                <v:shape id="shape_0" stroked="t" style="position:absolute;left:2493;top:8994;width:13;height:4;flip:x;rotation:90" type="shapetype_34">
                  <w10:wrap type="none"/>
                  <v:fill o:detectmouseclick="t" on="false"/>
                  <v:stroke color="#69696d" endarrow="block" endarrowwidth="medium" endarrowlength="medium" joinstyle="round" endcap="flat"/>
                </v:shape>
                <v:shape id="shape_0" stroked="t" style="position:absolute;left:2487;top:9062;width:12;height:2;rotation:90" type="shapetype_34">
                  <w10:wrap type="none"/>
                  <v:fill o:detectmouseclick="t" on="false"/>
                  <v:stroke color="black" endarrow="block" endarrowwidth="medium" endarrowlength="medium" joinstyle="round" endcap="flat"/>
                </v:shape>
                <v:shape id="shape_0" stroked="t" style="position:absolute;left:2490;top:9062;width:12;height:2;flip:x;rotation:90" type="shapetype_34">
                  <w10:wrap type="none"/>
                  <v:fill o:detectmouseclick="t" on="false"/>
                  <v:stroke color="black" endarrow="block" endarrowwidth="medium" endarrowlength="medium" joinstyle="round" endcap="flat"/>
                </v:shape>
                <v:shape id="shape_0" stroked="t" style="position:absolute;left:2508;top:899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899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77;top:8827;width:11;height:2;rotation:270" type="shapetype_34">
                  <w10:wrap type="none"/>
                  <v:fill o:detectmouseclick="t" on="false"/>
                  <v:stroke color="black" weight="9360" dashstyle="longdashdotdot" endarrow="block" endarrowwidth="medium" endarrowlength="medium" joinstyle="round" endcap="flat"/>
                </v:shape>
                <v:shape id="shape_0" stroked="t" style="position:absolute;left:2481;top:8828;width:12;height:2;flip:x;rotation:90" type="shapetype_34">
                  <w10:wrap type="none"/>
                  <v:fill o:detectmouseclick="t" on="false"/>
                  <v:stroke color="black" weight="9360" dashstyle="longdashdotdot" endarrow="block" endarrowwidth="medium" endarrowlength="medium" joinstyle="round" endcap="flat"/>
                </v:shape>
                <v:shape id="shape_0" stroked="t" style="position:absolute;left:2508;top:899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899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77;top:8827;width:11;height:2;rotation:270" type="shapetype_34">
                  <w10:wrap type="none"/>
                  <v:fill o:detectmouseclick="t" on="false"/>
                  <v:stroke color="black" weight="9360" dashstyle="longdashdotdot" endarrow="block" endarrowwidth="medium" endarrowlength="medium" joinstyle="round" endcap="flat"/>
                </v:shape>
                <v:shape id="shape_0" stroked="t" style="position:absolute;left:2481;top:8828;width:11;height:1;flip:x;rotation:90" type="shapetype_34">
                  <w10:wrap type="none"/>
                  <v:fill o:detectmouseclick="t" on="false"/>
                  <v:stroke color="black" weight="9360" dashstyle="longdashdotdot" endarrow="block" endarrowwidth="medium" endarrowlength="medium" joinstyle="round" endcap="flat"/>
                </v:shape>
                <v:shape id="shape_0" stroked="t" style="position:absolute;left:2508;top:899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899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78;top:8827;width:10;height:2;rotation:270" type="shapetype_34">
                  <w10:wrap type="none"/>
                  <v:fill o:detectmouseclick="t" on="false"/>
                  <v:stroke color="black" weight="9360" dashstyle="longdashdotdot" endarrow="block" endarrowwidth="medium" endarrowlength="medium" joinstyle="round" endcap="flat"/>
                </v:shape>
                <v:shape id="shape_0" stroked="t" style="position:absolute;left:2481;top:8827;width:11;height:2;flip:x;rotation:90" type="shapetype_34">
                  <w10:wrap type="none"/>
                  <v:fill o:detectmouseclick="t" on="false"/>
                  <v:stroke color="black" weight="9360" dashstyle="longdashdotdot" endarrow="block" endarrowwidth="medium" endarrowlength="medium" joinstyle="round" endcap="flat"/>
                </v:shape>
                <v:shape id="shape_0" stroked="t" style="position:absolute;left:2508;top:899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899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77;top:8828;width:12;height:2;rotation:270" type="shapetype_34">
                  <w10:wrap type="none"/>
                  <v:fill o:detectmouseclick="t" on="false"/>
                  <v:stroke color="black" weight="9360" dashstyle="longdashdotdot" endarrow="block" endarrowwidth="medium" endarrowlength="medium" joinstyle="round" endcap="flat"/>
                </v:shape>
                <v:shape id="shape_0" stroked="t" style="position:absolute;left:2480;top:8828;width:12;height:1;flip:x;rotation:90" type="shapetype_34">
                  <w10:wrap type="none"/>
                  <v:fill o:detectmouseclick="t" on="false"/>
                  <v:stroke color="black" weight="9360" dashstyle="longdashdotdot" endarrow="block" endarrowwidth="medium" endarrowlength="medium" joinstyle="round" endcap="flat"/>
                </v:shape>
                <v:shape id="shape_0" stroked="t" style="position:absolute;left:2508;top:899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899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76;top:8827;width:12;height:4;rotation:270" type="shapetype_34">
                  <w10:wrap type="none"/>
                  <v:fill o:detectmouseclick="t" on="false"/>
                  <v:stroke color="#6c6c71" weight="9360" dashstyle="longdashdot" endarrow="block" endarrowwidth="medium" endarrowlength="medium" joinstyle="round" endcap="flat"/>
                </v:shape>
                <v:shape id="shape_0" stroked="t" style="position:absolute;left:2481;top:8826;width:12;height:5;flip:x;rotation:90" type="shapetype_34">
                  <w10:wrap type="none"/>
                  <v:fill o:detectmouseclick="t" on="false"/>
                  <v:stroke color="#6c6c71" weight="9360" dashstyle="longdashdot" endarrow="block" endarrowwidth="medium" endarrowlength="medium" joinstyle="round" endcap="flat"/>
                </v:shape>
                <v:shape id="shape_0" stroked="t" style="position:absolute;left:2508;top:8991;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09;top:8991;width:0;height:0;flip:x;rotation:90" type="shapetype_34">
                  <w10:wrap type="none"/>
                  <v:fill o:detectmouseclick="t" on="false"/>
                  <v:stroke color="#6c6c71" weight="9360" dashstyle="longdashdot" endarrow="block" endarrowwidth="medium" endarrowlength="medium" joinstyle="round" endcap="flat"/>
                </v:shape>
                <v:shape id="shape_0" stroked="t" style="position:absolute;left:2476;top:8827;width:12;height:4;rotation:270" type="shapetype_34">
                  <w10:wrap type="none"/>
                  <v:fill o:detectmouseclick="t" on="false"/>
                  <v:stroke color="#6c6c71" weight="9360" dashstyle="longdashdot" endarrow="block" endarrowwidth="medium" endarrowlength="medium" joinstyle="round" endcap="flat"/>
                </v:shape>
                <v:shape id="shape_0" stroked="t" style="position:absolute;left:2481;top:8826;width:12;height:5;flip:x;rotation:90" type="shapetype_34">
                  <w10:wrap type="none"/>
                  <v:fill o:detectmouseclick="t" on="false"/>
                  <v:stroke color="#6c6c71" weight="9360" dashstyle="longdashdot" endarrow="block" endarrowwidth="medium" endarrowlength="medium" joinstyle="round" endcap="flat"/>
                </v:shape>
                <v:shape id="shape_0" stroked="t" style="position:absolute;left:2508;top:8991;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09;top:8991;width:0;height:0;flip:x;rotation:90" type="shapetype_34">
                  <w10:wrap type="none"/>
                  <v:fill o:detectmouseclick="t" on="false"/>
                  <v:stroke color="#6c6c71" weight="9360" dashstyle="longdashdot" endarrow="block" endarrowwidth="medium" endarrowlength="medium" joinstyle="round" endcap="flat"/>
                </v:shape>
                <v:shape id="shape_0" stroked="t" style="position:absolute;left:2476;top:8827;width:12;height:4;rotation:270" type="shapetype_34">
                  <w10:wrap type="none"/>
                  <v:fill o:detectmouseclick="t" on="false"/>
                  <v:stroke color="#6c6c71" weight="9360" dashstyle="longdashdot" endarrow="block" endarrowwidth="medium" endarrowlength="medium" joinstyle="round" endcap="flat"/>
                </v:shape>
                <v:shape id="shape_0" stroked="t" style="position:absolute;left:2481;top:8826;width:12;height:5;flip:x;rotation:90" type="shapetype_34">
                  <w10:wrap type="none"/>
                  <v:fill o:detectmouseclick="t" on="false"/>
                  <v:stroke color="#6c6c71" weight="9360" dashstyle="longdashdot" endarrow="block" endarrowwidth="medium" endarrowlength="medium" joinstyle="round" endcap="flat"/>
                </v:shape>
              </v:group>
            </w:pict>
          </mc:Fallback>
        </mc:AlternateContent>
        <mc:AlternateContent>
          <mc:Choice Requires="wps">
            <w:drawing>
              <wp:anchor behindDoc="0" distT="0" distB="0" distL="0" distR="0" simplePos="0" locked="0" layoutInCell="1" allowOverlap="1" relativeHeight="8" wp14:anchorId="2439AD0F">
                <wp:simplePos x="0" y="0"/>
                <wp:positionH relativeFrom="column">
                  <wp:posOffset>3105785</wp:posOffset>
                </wp:positionH>
                <wp:positionV relativeFrom="paragraph">
                  <wp:posOffset>3772535</wp:posOffset>
                </wp:positionV>
                <wp:extent cx="215265" cy="131445"/>
                <wp:effectExtent l="80010" t="0" r="18415" b="56515"/>
                <wp:wrapNone/>
                <wp:docPr id="41" name="Соединительная линия уступом 131"/>
                <a:graphic xmlns:a="http://schemas.openxmlformats.org/drawingml/2006/main">
                  <a:graphicData uri="http://schemas.microsoft.com/office/word/2010/wordprocessingShape">
                    <wps:wsp>
                      <wps:cNvSpPr/>
                      <wps:spPr>
                        <a:xfrm rot="5400000">
                          <a:off x="0" y="0"/>
                          <a:ext cx="214560" cy="13068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Соединительная линия уступом 131" stroked="t" style="position:absolute;margin-left:244.6pt;margin-top:297.05pt;width:16.85pt;height:10.25pt;rotation:90" wp14:anchorId="2439AD0F" type="shapetype_34">
                <w10:wrap type="none"/>
                <v:fill o:detectmouseclick="t" on="false"/>
                <v:stroke color="black" weight="9360" dashstyle="longdashdotdot"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9" wp14:anchorId="44BF2467">
                <wp:simplePos x="0" y="0"/>
                <wp:positionH relativeFrom="column">
                  <wp:posOffset>3216275</wp:posOffset>
                </wp:positionH>
                <wp:positionV relativeFrom="paragraph">
                  <wp:posOffset>3790315</wp:posOffset>
                </wp:positionV>
                <wp:extent cx="222885" cy="102235"/>
                <wp:effectExtent l="2857" t="0" r="86678" b="67627"/>
                <wp:wrapNone/>
                <wp:docPr id="42" name="Соединительная линия уступом 132"/>
                <a:graphic xmlns:a="http://schemas.openxmlformats.org/drawingml/2006/main">
                  <a:graphicData uri="http://schemas.microsoft.com/office/word/2010/wordprocessingShape">
                    <wps:wsp>
                      <wps:cNvSpPr/>
                      <wps:spPr>
                        <a:xfrm flipH="1" rot="16200000">
                          <a:off x="0" y="0"/>
                          <a:ext cx="222120" cy="1015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Соединительная линия уступом 132" stroked="t" style="position:absolute;margin-left:253.3pt;margin-top:298.45pt;width:17.45pt;height:7.95pt;flip:x;rotation:90" wp14:anchorId="44BF2467" type="shapetype_34">
                <w10:wrap type="none"/>
                <v:fill o:detectmouseclick="t" on="false"/>
                <v:stroke color="black" weight="9360" dashstyle="longdashdotdot"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10" wp14:anchorId="19C68B11">
                <wp:simplePos x="0" y="0"/>
                <wp:positionH relativeFrom="column">
                  <wp:posOffset>3551555</wp:posOffset>
                </wp:positionH>
                <wp:positionV relativeFrom="paragraph">
                  <wp:posOffset>3780155</wp:posOffset>
                </wp:positionV>
                <wp:extent cx="215265" cy="131445"/>
                <wp:effectExtent l="80010" t="0" r="18415" b="56515"/>
                <wp:wrapNone/>
                <wp:docPr id="43" name="Соединительная линия уступом 133"/>
                <a:graphic xmlns:a="http://schemas.openxmlformats.org/drawingml/2006/main">
                  <a:graphicData uri="http://schemas.microsoft.com/office/word/2010/wordprocessingShape">
                    <wps:wsp>
                      <wps:cNvSpPr/>
                      <wps:spPr>
                        <a:xfrm rot="5400000">
                          <a:off x="0" y="0"/>
                          <a:ext cx="214560" cy="13068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Соединительная линия уступом 133" stroked="t" style="position:absolute;margin-left:279.7pt;margin-top:297.65pt;width:16.85pt;height:10.25pt;rotation:90" wp14:anchorId="19C68B11" type="shapetype_34">
                <w10:wrap type="none"/>
                <v:fill o:detectmouseclick="t" on="false"/>
                <v:stroke color="black" weight="9360" dashstyle="longdashdotdot"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11" wp14:anchorId="3B468A6D">
                <wp:simplePos x="0" y="0"/>
                <wp:positionH relativeFrom="column">
                  <wp:posOffset>3661410</wp:posOffset>
                </wp:positionH>
                <wp:positionV relativeFrom="paragraph">
                  <wp:posOffset>3798570</wp:posOffset>
                </wp:positionV>
                <wp:extent cx="222885" cy="102235"/>
                <wp:effectExtent l="2857" t="0" r="86678" b="67627"/>
                <wp:wrapNone/>
                <wp:docPr id="44" name="Соединительная линия уступом 134"/>
                <a:graphic xmlns:a="http://schemas.openxmlformats.org/drawingml/2006/main">
                  <a:graphicData uri="http://schemas.microsoft.com/office/word/2010/wordprocessingShape">
                    <wps:wsp>
                      <wps:cNvSpPr/>
                      <wps:spPr>
                        <a:xfrm flipH="1" rot="16200000">
                          <a:off x="0" y="0"/>
                          <a:ext cx="222120" cy="101520"/>
                        </a:xfrm>
                        <a:prstGeom prst="bentConnector3">
                          <a:avLst>
                            <a:gd name="adj1" fmla="val 50000"/>
                          </a:avLst>
                        </a:prstGeom>
                        <a:noFill/>
                        <a:ln>
                          <a:prstDash val="lgDashDotDot"/>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Соединительная линия уступом 134" stroked="t" style="position:absolute;margin-left:288.35pt;margin-top:299.1pt;width:17.45pt;height:7.95pt;flip:x;rotation:90" wp14:anchorId="3B468A6D" type="shapetype_34">
                <w10:wrap type="none"/>
                <v:fill o:detectmouseclick="t" on="false"/>
                <v:stroke color="black" weight="9360" dashstyle="longdashdotdot" endarrow="block" endarrowwidth="medium" endarrowlength="medium" joinstyle="round" endcap="flat"/>
              </v:shape>
            </w:pict>
          </mc:Fallback>
        </mc:AlternateContent>
      </w:r>
    </w:p>
    <w:p>
      <w:pPr>
        <w:pStyle w:val="Normal"/>
        <w:jc w:val="center"/>
        <w:rPr>
          <w:b/>
          <w:b/>
          <w:sz w:val="28"/>
          <w:szCs w:val="28"/>
        </w:rPr>
      </w:pPr>
      <w:r>
        <w:rPr>
          <w:b/>
          <w:sz w:val="28"/>
          <w:szCs w:val="28"/>
        </w:rPr>
        <w:t>Структура иерархии целей Стратегии соцально-экономического развития Тереньгульского района</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ind w:firstLine="709"/>
        <w:jc w:val="both"/>
        <w:rPr>
          <w:sz w:val="28"/>
          <w:szCs w:val="28"/>
        </w:rPr>
      </w:pPr>
      <w:r>
        <w:rPr>
          <w:sz w:val="28"/>
          <w:szCs w:val="28"/>
        </w:rPr>
        <w:t xml:space="preserve">Дерево стратегических целей социально-экономического развития Тереньгульского района до 2030 года представлено в Приложении 1. </w:t>
      </w:r>
    </w:p>
    <w:p>
      <w:pPr>
        <w:pStyle w:val="Normal"/>
        <w:ind w:firstLine="709"/>
        <w:jc w:val="both"/>
        <w:rPr>
          <w:sz w:val="28"/>
          <w:szCs w:val="28"/>
        </w:rPr>
      </w:pPr>
      <w:r>
        <w:rPr>
          <w:sz w:val="28"/>
          <w:szCs w:val="28"/>
        </w:rPr>
        <w:t>Миссия Тереньгульского района заключается в росте благосостояния жителей района и качества жизни, а также в повышении темпов экономического роста до уровня, превышающего среднеобластные показатели.</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Видение будущего облика Тереньгульского района к 2030 году:</w:t>
      </w:r>
    </w:p>
    <w:p>
      <w:pPr>
        <w:pStyle w:val="Normal"/>
        <w:ind w:firstLine="709"/>
        <w:jc w:val="both"/>
        <w:rPr>
          <w:sz w:val="28"/>
          <w:szCs w:val="28"/>
        </w:rPr>
      </w:pPr>
      <w:r>
        <w:rPr>
          <w:sz w:val="28"/>
          <w:szCs w:val="28"/>
        </w:rPr>
        <w:t>- район с устойчивым социально-экономическим развитием;</w:t>
      </w:r>
    </w:p>
    <w:p>
      <w:pPr>
        <w:pStyle w:val="Normal"/>
        <w:ind w:firstLine="709"/>
        <w:jc w:val="both"/>
        <w:rPr>
          <w:sz w:val="28"/>
          <w:szCs w:val="28"/>
        </w:rPr>
      </w:pPr>
      <w:r>
        <w:rPr>
          <w:sz w:val="28"/>
          <w:szCs w:val="28"/>
        </w:rPr>
        <w:t>- район, в котором хочется жить, работать, и в который хочется возвращаться;</w:t>
      </w:r>
    </w:p>
    <w:p>
      <w:pPr>
        <w:pStyle w:val="Normal"/>
        <w:ind w:firstLine="709"/>
        <w:jc w:val="both"/>
        <w:rPr>
          <w:sz w:val="28"/>
          <w:szCs w:val="28"/>
        </w:rPr>
      </w:pPr>
      <w:r>
        <w:rPr>
          <w:sz w:val="28"/>
          <w:szCs w:val="28"/>
        </w:rPr>
        <w:t>- район - центр туристических маршрутов Ульяновской области;</w:t>
      </w:r>
    </w:p>
    <w:p>
      <w:pPr>
        <w:pStyle w:val="Normal"/>
        <w:ind w:firstLine="709"/>
        <w:jc w:val="both"/>
        <w:rPr>
          <w:sz w:val="28"/>
          <w:szCs w:val="28"/>
        </w:rPr>
      </w:pPr>
      <w:r>
        <w:rPr>
          <w:sz w:val="28"/>
          <w:szCs w:val="28"/>
        </w:rPr>
        <w:t>- район, в котором каждый житель может иметь качественное и доступное жильё;</w:t>
      </w:r>
    </w:p>
    <w:p>
      <w:pPr>
        <w:pStyle w:val="Normal"/>
        <w:ind w:firstLine="709"/>
        <w:jc w:val="both"/>
        <w:rPr>
          <w:sz w:val="28"/>
          <w:szCs w:val="28"/>
        </w:rPr>
      </w:pPr>
      <w:r>
        <w:rPr>
          <w:sz w:val="28"/>
          <w:szCs w:val="28"/>
        </w:rPr>
        <w:t>- район, соответствующий высшей оценке в уровне экономической безопасности среди муниципальных образований Ульяновской области;</w:t>
      </w:r>
    </w:p>
    <w:p>
      <w:pPr>
        <w:pStyle w:val="Normal"/>
        <w:ind w:firstLine="709"/>
        <w:jc w:val="both"/>
        <w:rPr>
          <w:sz w:val="28"/>
          <w:szCs w:val="28"/>
        </w:rPr>
      </w:pPr>
      <w:r>
        <w:rPr>
          <w:sz w:val="28"/>
          <w:szCs w:val="28"/>
        </w:rPr>
        <w:t>- район с благоприятной экологической обстановкой;</w:t>
      </w:r>
    </w:p>
    <w:p>
      <w:pPr>
        <w:pStyle w:val="Normal"/>
        <w:ind w:firstLine="709"/>
        <w:jc w:val="both"/>
        <w:rPr>
          <w:sz w:val="28"/>
          <w:szCs w:val="28"/>
        </w:rPr>
      </w:pPr>
      <w:r>
        <w:rPr>
          <w:sz w:val="28"/>
          <w:szCs w:val="28"/>
        </w:rPr>
        <w:t xml:space="preserve">-район с доступныи и качественным предоставлением услуг в социальной сфере, обеспеченный кадрами высокой квификации и развитой социальной инфраструктурой; </w:t>
      </w:r>
    </w:p>
    <w:p>
      <w:pPr>
        <w:pStyle w:val="Normal"/>
        <w:ind w:firstLine="709"/>
        <w:jc w:val="both"/>
        <w:rPr>
          <w:sz w:val="28"/>
          <w:szCs w:val="28"/>
        </w:rPr>
      </w:pPr>
      <w:r>
        <w:rPr>
          <w:sz w:val="28"/>
          <w:szCs w:val="28"/>
        </w:rPr>
        <w:t>- территория с высоким качеством и уровнем жизни;</w:t>
      </w:r>
    </w:p>
    <w:p>
      <w:pPr>
        <w:pStyle w:val="Normal"/>
        <w:ind w:firstLine="709"/>
        <w:jc w:val="both"/>
        <w:rPr>
          <w:sz w:val="28"/>
          <w:szCs w:val="28"/>
        </w:rPr>
      </w:pPr>
      <w:r>
        <w:rPr>
          <w:sz w:val="28"/>
          <w:szCs w:val="28"/>
        </w:rPr>
        <w:t>- район, в котором есть все необходимые условия для занятий физической культурой и спортом;</w:t>
      </w:r>
    </w:p>
    <w:p>
      <w:pPr>
        <w:pStyle w:val="Normal"/>
        <w:ind w:firstLine="709"/>
        <w:jc w:val="both"/>
        <w:rPr>
          <w:sz w:val="28"/>
          <w:szCs w:val="28"/>
        </w:rPr>
      </w:pPr>
      <w:r>
        <w:rPr>
          <w:sz w:val="28"/>
          <w:szCs w:val="28"/>
        </w:rPr>
        <w:t>- район, имеющий развитую дорожную сеть, соответствующую современным нормативам по обеспечению стандартов безопасности.</w:t>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b/>
          <w:b/>
          <w:sz w:val="28"/>
          <w:szCs w:val="28"/>
        </w:rPr>
      </w:pPr>
      <w:r>
        <w:rPr>
          <w:rFonts w:cs="Times New Roman"/>
          <w:sz w:val="28"/>
          <w:szCs w:val="28"/>
        </w:rPr>
        <w:t xml:space="preserve">Проведение анализа исходной социально-экономической ситуации Тереньгульского района и стартовых условий для разработки Стратегии позволило выявить комплекс проблем, решение которых возможно осуществить в рамках следующих </w:t>
      </w:r>
      <w:r>
        <w:rPr>
          <w:rFonts w:cs="Times New Roman"/>
          <w:b/>
          <w:sz w:val="28"/>
          <w:szCs w:val="28"/>
        </w:rPr>
        <w:t>стратегических векторов</w:t>
      </w:r>
      <w:r>
        <w:rPr>
          <w:rFonts w:cs="Times New Roman"/>
          <w:sz w:val="28"/>
          <w:szCs w:val="28"/>
        </w:rPr>
        <w:t>:</w:t>
      </w:r>
    </w:p>
    <w:p>
      <w:pPr>
        <w:pStyle w:val="ListParagraph"/>
        <w:ind w:left="0" w:firstLine="709"/>
        <w:jc w:val="both"/>
        <w:rPr>
          <w:rFonts w:cs="Times New Roman"/>
          <w:sz w:val="28"/>
          <w:szCs w:val="28"/>
        </w:rPr>
      </w:pPr>
      <w:r>
        <w:rPr>
          <w:rFonts w:cs="Times New Roman"/>
          <w:sz w:val="28"/>
          <w:szCs w:val="28"/>
        </w:rPr>
        <w:t>2.1. Развитие человеческого капитала и социальной сферы.</w:t>
      </w:r>
    </w:p>
    <w:p>
      <w:pPr>
        <w:pStyle w:val="ListParagraph"/>
        <w:ind w:left="0" w:firstLine="709"/>
        <w:jc w:val="both"/>
        <w:rPr>
          <w:rFonts w:cs="Times New Roman"/>
          <w:sz w:val="28"/>
          <w:szCs w:val="28"/>
        </w:rPr>
      </w:pPr>
      <w:r>
        <w:rPr>
          <w:rFonts w:cs="Times New Roman"/>
          <w:sz w:val="28"/>
          <w:szCs w:val="28"/>
        </w:rPr>
        <w:t>2.2. Развитие экономики, создание благоприятного инвестиционного и предпринимательского климата.</w:t>
      </w:r>
    </w:p>
    <w:p>
      <w:pPr>
        <w:pStyle w:val="ListParagraph"/>
        <w:ind w:left="0" w:firstLine="709"/>
        <w:jc w:val="both"/>
        <w:rPr>
          <w:rFonts w:cs="Times New Roman"/>
          <w:sz w:val="28"/>
          <w:szCs w:val="28"/>
        </w:rPr>
      </w:pPr>
      <w:r>
        <w:rPr>
          <w:rFonts w:cs="Times New Roman"/>
          <w:sz w:val="28"/>
          <w:szCs w:val="28"/>
        </w:rPr>
        <w:t>2.3. Развитие инфраструктуры жизнеобеспечения и сбалансированное пространственное развитие.</w:t>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r>
    </w:p>
    <w:p>
      <w:pPr>
        <w:pStyle w:val="01"/>
        <w:numPr>
          <w:ilvl w:val="1"/>
          <w:numId w:val="58"/>
        </w:numPr>
        <w:rPr/>
      </w:pPr>
      <w:bookmarkStart w:id="40" w:name="_Toc4405005"/>
      <w:r>
        <w:rPr/>
        <w:t>РАЗВИТИЕ ЧЕЛОВЕЧЕСКОГО КАПИТАЛА</w:t>
        <w:br/>
        <w:t>И СОЦИАЛЬНОЙ СФЕРЫ</w:t>
      </w:r>
      <w:bookmarkEnd w:id="40"/>
      <w:r>
        <w:rPr/>
        <w:t xml:space="preserve"> </w:t>
      </w:r>
    </w:p>
    <w:p>
      <w:pPr>
        <w:pStyle w:val="01"/>
        <w:ind w:left="1440" w:hanging="0"/>
        <w:jc w:val="left"/>
        <w:rPr/>
      </w:pPr>
      <w:r>
        <w:rPr/>
      </w:r>
    </w:p>
    <w:p>
      <w:pPr>
        <w:pStyle w:val="Normal"/>
        <w:rPr/>
      </w:pPr>
      <w:r>
        <w:rPr/>
      </w:r>
    </w:p>
    <w:tbl>
      <w:tblPr>
        <w:tblStyle w:val="af1"/>
        <w:tblW w:w="9606" w:type="dxa"/>
        <w:jc w:val="left"/>
        <w:tblInd w:w="0" w:type="dxa"/>
        <w:tblCellMar>
          <w:top w:w="0" w:type="dxa"/>
          <w:left w:w="108" w:type="dxa"/>
          <w:bottom w:w="0" w:type="dxa"/>
          <w:right w:w="108" w:type="dxa"/>
        </w:tblCellMar>
        <w:tblLook w:noVBand="1" w:val="04a0" w:noHBand="0" w:lastColumn="0" w:firstColumn="1" w:lastRow="0" w:firstRow="1"/>
      </w:tblPr>
      <w:tblGrid>
        <w:gridCol w:w="534"/>
        <w:gridCol w:w="4536"/>
        <w:gridCol w:w="4536"/>
      </w:tblGrid>
      <w:tr>
        <w:trPr/>
        <w:tc>
          <w:tcPr>
            <w:tcW w:w="534"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t>Демографическая ситуация</w:t>
            </w:r>
          </w:p>
        </w:tc>
        <w:tc>
          <w:tcPr>
            <w:tcW w:w="4536" w:type="dxa"/>
            <w:tcBorders/>
            <w:shd w:color="auto" w:fill="BDCBD5" w:themeFill="accent4" w:themeFillTint="99" w:val="clear"/>
          </w:tcPr>
          <w:p>
            <w:pPr>
              <w:pStyle w:val="ListParagraph"/>
              <w:spacing w:lineRule="auto" w:line="240"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40"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rHeight w:val="1961" w:hRule="atLeast"/>
          <w:cantSplit w:val="true"/>
        </w:trPr>
        <w:tc>
          <w:tcPr>
            <w:tcW w:w="534" w:type="dxa"/>
            <w:vMerge w:val="continue"/>
            <w:tcBorders/>
            <w:shd w:fill="auto" w:val="clear"/>
            <w:textDirection w:val="btLr"/>
          </w:tcPr>
          <w:p>
            <w:pPr>
              <w:pStyle w:val="ListParagraph"/>
              <w:spacing w:lineRule="auto" w:line="240" w:before="0" w:after="0"/>
              <w:ind w:left="113" w:right="113"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13"/>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Район имеет низкую плотность населения, может рассматриваться как миграционная площадка для вселения.</w:t>
            </w:r>
          </w:p>
          <w:p>
            <w:pPr>
              <w:pStyle w:val="ListParagraph"/>
              <w:numPr>
                <w:ilvl w:val="0"/>
                <w:numId w:val="13"/>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Имеется опыт достижения положительного миграционного сальдо в 2015-2016 годах.</w:t>
            </w:r>
          </w:p>
          <w:p>
            <w:pPr>
              <w:pStyle w:val="ListParagraph"/>
              <w:numPr>
                <w:ilvl w:val="0"/>
                <w:numId w:val="13"/>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Положительная динамика снижения коэффициента смертности.</w:t>
            </w:r>
          </w:p>
        </w:tc>
        <w:tc>
          <w:tcPr>
            <w:tcW w:w="4536" w:type="dxa"/>
            <w:tcBorders/>
            <w:shd w:fill="auto" w:val="clear"/>
          </w:tcPr>
          <w:p>
            <w:pPr>
              <w:pStyle w:val="ListParagraph"/>
              <w:numPr>
                <w:ilvl w:val="0"/>
                <w:numId w:val="14"/>
              </w:numPr>
              <w:suppressAutoHyphens w:val="false"/>
              <w:spacing w:lineRule="auto" w:line="240" w:before="0" w:after="0"/>
              <w:ind w:left="317" w:hanging="283"/>
              <w:contextualSpacing/>
              <w:jc w:val="both"/>
              <w:rPr>
                <w:rFonts w:cs="Times New Roman"/>
                <w:color w:val="0D0D0D" w:themeColor="text1" w:themeTint="f2"/>
              </w:rPr>
            </w:pPr>
            <w:r>
              <w:rPr>
                <w:rFonts w:cs="Times New Roman"/>
                <w:color w:val="0D0D0D" w:themeColor="text1" w:themeTint="f2"/>
              </w:rPr>
              <w:t>Сокращение численности населения, стабильно отрицательная динамика.</w:t>
            </w:r>
          </w:p>
          <w:p>
            <w:pPr>
              <w:pStyle w:val="ListParagraph"/>
              <w:numPr>
                <w:ilvl w:val="0"/>
                <w:numId w:val="14"/>
              </w:numPr>
              <w:suppressAutoHyphens w:val="false"/>
              <w:spacing w:lineRule="auto" w:line="240" w:before="0" w:after="0"/>
              <w:ind w:left="317" w:hanging="283"/>
              <w:contextualSpacing/>
              <w:jc w:val="both"/>
              <w:rPr>
                <w:rFonts w:cs="Times New Roman"/>
                <w:color w:val="0D0D0D" w:themeColor="text1" w:themeTint="f2"/>
              </w:rPr>
            </w:pPr>
            <w:r>
              <w:rPr>
                <w:rFonts w:cs="Times New Roman"/>
                <w:color w:val="0D0D0D" w:themeColor="text1" w:themeTint="f2"/>
              </w:rPr>
              <w:t>Усиление диспропорций по возрастному составу, старение населения.</w:t>
            </w:r>
          </w:p>
        </w:tc>
      </w:tr>
      <w:tr>
        <w:trPr>
          <w:trHeight w:val="230" w:hRule="atLeast"/>
          <w:cantSplit w:val="true"/>
        </w:trPr>
        <w:tc>
          <w:tcPr>
            <w:tcW w:w="534" w:type="dxa"/>
            <w:vMerge w:val="continue"/>
            <w:tcBorders/>
            <w:shd w:fill="auto" w:val="clear"/>
            <w:textDirection w:val="btLr"/>
          </w:tcPr>
          <w:p>
            <w:pPr>
              <w:pStyle w:val="ListParagraph"/>
              <w:spacing w:lineRule="auto" w:line="240" w:before="0" w:after="0"/>
              <w:ind w:left="113" w:right="113" w:hanging="0"/>
              <w:contextualSpacing/>
              <w:jc w:val="both"/>
              <w:rPr>
                <w:rFonts w:cs="Times New Roman"/>
                <w:color w:val="0D0D0D" w:themeColor="text1" w:themeTint="f2"/>
              </w:rPr>
            </w:pPr>
            <w:r>
              <w:rPr>
                <w:rFonts w:cs="Times New Roman"/>
                <w:color w:val="0D0D0D" w:themeColor="text1" w:themeTint="f2"/>
              </w:rPr>
            </w:r>
          </w:p>
        </w:tc>
        <w:tc>
          <w:tcPr>
            <w:tcW w:w="4536" w:type="dxa"/>
            <w:tcBorders/>
            <w:shd w:color="auto" w:fill="BDCBD5" w:themeFill="accent4" w:themeFillTint="99" w:val="clear"/>
          </w:tcPr>
          <w:p>
            <w:pPr>
              <w:pStyle w:val="ListParagraph"/>
              <w:spacing w:lineRule="auto" w:line="240"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40"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rHeight w:val="1134" w:hRule="atLeast"/>
          <w:cantSplit w:val="true"/>
        </w:trPr>
        <w:tc>
          <w:tcPr>
            <w:tcW w:w="534" w:type="dxa"/>
            <w:vMerge w:val="continue"/>
            <w:tcBorders/>
            <w:shd w:fill="auto" w:val="clear"/>
            <w:textDirection w:val="btLr"/>
          </w:tcPr>
          <w:p>
            <w:pPr>
              <w:pStyle w:val="ListParagraph"/>
              <w:spacing w:lineRule="auto" w:line="240" w:before="0" w:after="0"/>
              <w:ind w:left="113" w:right="113"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15"/>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Привлечение трудоспособного населения, молодых специалистов, в том числе женщин фертильного возраста.</w:t>
            </w:r>
          </w:p>
          <w:p>
            <w:pPr>
              <w:pStyle w:val="ListParagraph"/>
              <w:numPr>
                <w:ilvl w:val="0"/>
                <w:numId w:val="15"/>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Снижение смертности.</w:t>
            </w:r>
          </w:p>
          <w:p>
            <w:pPr>
              <w:pStyle w:val="ListParagraph"/>
              <w:numPr>
                <w:ilvl w:val="0"/>
                <w:numId w:val="15"/>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Совершенствование системы раннего выявления заболеваний.</w:t>
            </w:r>
          </w:p>
        </w:tc>
        <w:tc>
          <w:tcPr>
            <w:tcW w:w="4536" w:type="dxa"/>
            <w:tcBorders/>
            <w:shd w:fill="auto" w:val="clear"/>
          </w:tcPr>
          <w:p>
            <w:pPr>
              <w:pStyle w:val="ListParagraph"/>
              <w:numPr>
                <w:ilvl w:val="0"/>
                <w:numId w:val="16"/>
              </w:numPr>
              <w:suppressAutoHyphens w:val="false"/>
              <w:spacing w:lineRule="auto" w:line="240" w:before="0" w:after="0"/>
              <w:ind w:left="317" w:hanging="283"/>
              <w:contextualSpacing/>
              <w:jc w:val="both"/>
              <w:rPr>
                <w:rFonts w:cs="Times New Roman"/>
                <w:color w:val="0D0D0D" w:themeColor="text1" w:themeTint="f2"/>
              </w:rPr>
            </w:pPr>
            <w:r>
              <w:rPr>
                <w:rFonts w:cs="Times New Roman"/>
                <w:color w:val="0D0D0D" w:themeColor="text1" w:themeTint="f2"/>
              </w:rPr>
              <w:t>Миграционная привлекательность других МО и субъектов РФ и дальнейший отток молодёжи.</w:t>
            </w:r>
          </w:p>
          <w:p>
            <w:pPr>
              <w:pStyle w:val="ListParagraph"/>
              <w:numPr>
                <w:ilvl w:val="0"/>
                <w:numId w:val="16"/>
              </w:numPr>
              <w:suppressAutoHyphens w:val="false"/>
              <w:spacing w:lineRule="auto" w:line="240" w:before="0" w:after="0"/>
              <w:ind w:left="317" w:hanging="283"/>
              <w:contextualSpacing/>
              <w:jc w:val="both"/>
              <w:rPr>
                <w:rFonts w:cs="Times New Roman"/>
                <w:color w:val="0D0D0D" w:themeColor="text1" w:themeTint="f2"/>
              </w:rPr>
            </w:pPr>
            <w:r>
              <w:rPr>
                <w:rFonts w:cs="Times New Roman"/>
                <w:color w:val="0D0D0D" w:themeColor="text1" w:themeTint="f2"/>
              </w:rPr>
              <w:t>Естественная убыль населения.</w:t>
            </w:r>
          </w:p>
        </w:tc>
      </w:tr>
      <w:tr>
        <w:trPr>
          <w:trHeight w:val="270" w:hRule="exact"/>
          <w:cantSplit w:val="true"/>
        </w:trPr>
        <w:tc>
          <w:tcPr>
            <w:tcW w:w="9606" w:type="dxa"/>
            <w:gridSpan w:val="3"/>
            <w:tcBorders/>
            <w:shd w:color="auto" w:fill="618096" w:themeFill="accent4" w:themeFillShade="bf" w:val="clear"/>
            <w:textDirection w:val="btLr"/>
          </w:tcPr>
          <w:p>
            <w:pPr>
              <w:pStyle w:val="ListParagraph"/>
              <w:spacing w:lineRule="auto" w:line="240" w:before="0" w:after="0"/>
              <w:ind w:left="0" w:hanging="0"/>
              <w:contextualSpacing/>
              <w:jc w:val="both"/>
              <w:rPr>
                <w:rFonts w:cs="Times New Roman"/>
                <w:color w:val="0D0D0D" w:themeColor="text1" w:themeTint="f2"/>
              </w:rPr>
            </w:pPr>
            <w:r>
              <w:rPr>
                <w:rFonts w:cs="Times New Roman"/>
                <w:color w:val="0D0D0D" w:themeColor="text1" w:themeTint="f2"/>
              </w:rPr>
            </w:r>
          </w:p>
        </w:tc>
      </w:tr>
      <w:tr>
        <w:trPr>
          <w:trHeight w:val="274" w:hRule="atLeast"/>
          <w:cantSplit w:val="true"/>
        </w:trPr>
        <w:tc>
          <w:tcPr>
            <w:tcW w:w="534"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t>Образование</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rHeight w:val="1134"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fill="auto" w:val="clear"/>
          </w:tcPr>
          <w:p>
            <w:pPr>
              <w:pStyle w:val="ListParagraph"/>
              <w:numPr>
                <w:ilvl w:val="0"/>
                <w:numId w:val="19"/>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Обеспеченность местами в ДОУ детей.</w:t>
            </w:r>
          </w:p>
          <w:p>
            <w:pPr>
              <w:pStyle w:val="ListParagraph"/>
              <w:numPr>
                <w:ilvl w:val="0"/>
                <w:numId w:val="19"/>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Увеличение доли выпускников, поступивших после окончания общеобразовательной организации в профессиональные образовательные организации, образовательные организации высшего образования (на 18% за 10 лет).</w:t>
            </w:r>
          </w:p>
        </w:tc>
        <w:tc>
          <w:tcPr>
            <w:tcW w:w="4536" w:type="dxa"/>
            <w:tcBorders/>
            <w:shd w:fill="auto" w:val="clear"/>
          </w:tcPr>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Дефицит кадров и недостаточный уровень квалификации педагогических работников.</w:t>
            </w:r>
          </w:p>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Здания образовательных организаций нуждаются в капитальном ремонте.</w:t>
            </w:r>
          </w:p>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Недостаточная материально-техническая оснащённость образовательных организаций для нормального ведения образовательного процесса в соответствии с требованиями ФГОС и потребителей услуг.</w:t>
            </w:r>
          </w:p>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Отсутствие на территории Тереньгульского района профессиональной образовательной организации, организации высшего образования.</w:t>
            </w:r>
          </w:p>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Отсутствие объединения технической направленности в системе дополнительного образования</w:t>
            </w:r>
          </w:p>
        </w:tc>
      </w:tr>
      <w:tr>
        <w:trPr>
          <w:trHeight w:val="265"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rHeight w:val="1134"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fill="auto" w:val="clear"/>
          </w:tcPr>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Строительство, реконструкция зданий за счёт участия в государственных программах развития образования</w:t>
            </w:r>
          </w:p>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Участие в грантовых конкурсах</w:t>
            </w:r>
          </w:p>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Лицензирование общеобразовательных организаций на осуществление образовательной деятельности по профессиям (специальностям) СПО.</w:t>
            </w:r>
          </w:p>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Материально-техническое оснащение учебного процесса в соответствии с требованиями ФГОС и потребителей услуг.</w:t>
            </w:r>
          </w:p>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Сокращение дефицита кадров.</w:t>
            </w:r>
          </w:p>
        </w:tc>
        <w:tc>
          <w:tcPr>
            <w:tcW w:w="4536" w:type="dxa"/>
            <w:tcBorders/>
            <w:shd w:fill="auto" w:val="clear"/>
          </w:tcPr>
          <w:p>
            <w:pPr>
              <w:pStyle w:val="ListParagraph"/>
              <w:numPr>
                <w:ilvl w:val="0"/>
                <w:numId w:val="20"/>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Дефицит бюджета</w:t>
            </w:r>
          </w:p>
          <w:p>
            <w:pPr>
              <w:pStyle w:val="ListParagraph"/>
              <w:numPr>
                <w:ilvl w:val="0"/>
                <w:numId w:val="20"/>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Недостаточное финансирование из федерального и областного бюджетов</w:t>
            </w:r>
          </w:p>
          <w:p>
            <w:pPr>
              <w:pStyle w:val="ListParagraph"/>
              <w:numPr>
                <w:ilvl w:val="0"/>
                <w:numId w:val="20"/>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Дефицит квалифицированных кадров.</w:t>
            </w:r>
          </w:p>
        </w:tc>
      </w:tr>
      <w:tr>
        <w:trPr>
          <w:trHeight w:val="327" w:hRule="exact"/>
          <w:cantSplit w:val="true"/>
        </w:trPr>
        <w:tc>
          <w:tcPr>
            <w:tcW w:w="9606" w:type="dxa"/>
            <w:gridSpan w:val="3"/>
            <w:tcBorders/>
            <w:shd w:color="auto" w:fill="618096" w:themeFill="accent4" w:themeFillShade="bf" w:val="clear"/>
            <w:textDirection w:val="btLr"/>
          </w:tcPr>
          <w:p>
            <w:pPr>
              <w:pStyle w:val="ListParagraph"/>
              <w:spacing w:lineRule="auto" w:line="228" w:before="0" w:after="0"/>
              <w:ind w:left="0" w:hanging="0"/>
              <w:contextualSpacing/>
              <w:rPr>
                <w:rFonts w:cs="Times New Roman"/>
                <w:color w:val="0D0D0D" w:themeColor="text1" w:themeTint="f2"/>
              </w:rPr>
            </w:pPr>
            <w:r>
              <w:rPr>
                <w:rFonts w:cs="Times New Roman"/>
                <w:color w:val="0D0D0D" w:themeColor="text1" w:themeTint="f2"/>
              </w:rPr>
            </w:r>
          </w:p>
        </w:tc>
      </w:tr>
      <w:tr>
        <w:trPr>
          <w:trHeight w:val="299" w:hRule="atLeast"/>
          <w:cantSplit w:val="true"/>
        </w:trPr>
        <w:tc>
          <w:tcPr>
            <w:tcW w:w="534"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t>Культура</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rHeight w:val="1134"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fill="auto" w:val="clear"/>
          </w:tcPr>
          <w:p>
            <w:pPr>
              <w:pStyle w:val="ListParagraph"/>
              <w:numPr>
                <w:ilvl w:val="0"/>
                <w:numId w:val="21"/>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Сохранено число организаций культурно-досугового типа, библиотек, музеев, действует кинозал.</w:t>
            </w:r>
          </w:p>
          <w:p>
            <w:pPr>
              <w:pStyle w:val="ListParagraph"/>
              <w:numPr>
                <w:ilvl w:val="0"/>
                <w:numId w:val="21"/>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 xml:space="preserve">Высокие показатели посещаемости культурно-досуговых мероприятий, учреждений культуры. </w:t>
            </w:r>
          </w:p>
          <w:p>
            <w:pPr>
              <w:pStyle w:val="ListParagraph"/>
              <w:numPr>
                <w:ilvl w:val="0"/>
                <w:numId w:val="21"/>
              </w:numPr>
              <w:suppressAutoHyphens w:val="false"/>
              <w:spacing w:lineRule="auto" w:line="228" w:before="0" w:after="0"/>
              <w:ind w:left="317" w:hanging="284"/>
              <w:contextualSpacing/>
              <w:jc w:val="both"/>
              <w:rPr>
                <w:color w:val="0D0D0D" w:themeColor="text1" w:themeTint="f2"/>
              </w:rPr>
            </w:pPr>
            <w:r>
              <w:rPr>
                <w:rFonts w:cs="Times New Roman"/>
                <w:color w:val="0D0D0D" w:themeColor="text1" w:themeTint="f2"/>
              </w:rPr>
              <w:t>Доля участников клубных формирований в 2 раза превосходит среднеобластное значение.</w:t>
            </w:r>
          </w:p>
          <w:p>
            <w:pPr>
              <w:pStyle w:val="ListParagraph"/>
              <w:numPr>
                <w:ilvl w:val="0"/>
                <w:numId w:val="21"/>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Наличие археологических находок, сохранившихся в пригодном к реставрации и использованию состоянии усадеб и усадебных комплексов, природного памятника «Скрипинские Кучуры».</w:t>
            </w:r>
          </w:p>
          <w:p>
            <w:pPr>
              <w:pStyle w:val="ListParagraph"/>
              <w:numPr>
                <w:ilvl w:val="0"/>
                <w:numId w:val="21"/>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Экспозиция музея в современном виде</w:t>
            </w:r>
          </w:p>
          <w:p>
            <w:pPr>
              <w:pStyle w:val="ListParagraph"/>
              <w:suppressAutoHyphens w:val="false"/>
              <w:spacing w:lineRule="auto" w:line="228" w:before="0" w:after="0"/>
              <w:ind w:left="317" w:hanging="0"/>
              <w:contextualSpacing/>
              <w:jc w:val="both"/>
              <w:rPr>
                <w:rFonts w:cs="Times New Roman"/>
                <w:color w:val="0D0D0D" w:themeColor="text1" w:themeTint="f2"/>
              </w:rPr>
            </w:pPr>
            <w:r>
              <w:rPr>
                <w:rFonts w:cs="Times New Roman"/>
                <w:color w:val="0D0D0D" w:themeColor="text1" w:themeTint="f2"/>
              </w:rPr>
            </w:r>
          </w:p>
          <w:p>
            <w:pPr>
              <w:pStyle w:val="ListParagraph"/>
              <w:suppressAutoHyphens w:val="false"/>
              <w:spacing w:lineRule="auto" w:line="228" w:before="0" w:after="0"/>
              <w:ind w:left="317" w:hanging="0"/>
              <w:contextualSpacing/>
              <w:jc w:val="both"/>
              <w:rPr>
                <w:rFonts w:cs="Times New Roman"/>
                <w:color w:val="0D0D0D" w:themeColor="text1" w:themeTint="f2"/>
              </w:rPr>
            </w:pPr>
            <w:r>
              <w:rPr>
                <w:rFonts w:cs="Times New Roman"/>
                <w:color w:val="0D0D0D" w:themeColor="text1" w:themeTint="f2"/>
              </w:rPr>
            </w:r>
          </w:p>
          <w:p>
            <w:pPr>
              <w:pStyle w:val="ListParagraph"/>
              <w:suppressAutoHyphens w:val="false"/>
              <w:spacing w:lineRule="auto" w:line="228" w:before="0" w:after="0"/>
              <w:ind w:left="317"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Неудовлетворительное состояние зданий (18% зданий нуждаются в капитальном ремонте).</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Дефицит, «старение» кадров, недостаточный уровень квалификации работников культуры.</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Низкий уровень оплаты труда работников.</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Недостаточное материально-техническое обеспечение учреждений культуры.</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Низкий уровень удовлетворённости качеством оказания услуг.</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 xml:space="preserve">Состояние памятников требует капитальных вложений </w:t>
            </w:r>
          </w:p>
        </w:tc>
      </w:tr>
      <w:tr>
        <w:trPr>
          <w:trHeight w:val="270"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rHeight w:val="1134"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fill="auto" w:val="clear"/>
          </w:tcPr>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Строительство новых, реконструкция имеющихся зданий учреждений культуры, материально-техническое оснащение за счёт участия в государственных программах развития культуры и искусства.</w:t>
            </w:r>
          </w:p>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Участие в грантовых конкурсах.</w:t>
            </w:r>
          </w:p>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Привлечение молодых специалистов с профильным образованием.</w:t>
            </w:r>
          </w:p>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 xml:space="preserve">Возможность привлечения грантов (фонда Тимченко и Президентских грантов) </w:t>
            </w:r>
          </w:p>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 xml:space="preserve">Привлечение Управления по охране объектов культурного наследия администрации Губернатора Ульяновской области к охране ОКН (усадьба Перси-Френч) </w:t>
            </w:r>
          </w:p>
        </w:tc>
        <w:tc>
          <w:tcPr>
            <w:tcW w:w="4536" w:type="dxa"/>
            <w:tcBorders/>
            <w:shd w:fill="auto" w:val="clear"/>
          </w:tcPr>
          <w:p>
            <w:pPr>
              <w:pStyle w:val="ListParagraph"/>
              <w:numPr>
                <w:ilvl w:val="0"/>
                <w:numId w:val="22"/>
              </w:numPr>
              <w:suppressAutoHyphens w:val="false"/>
              <w:spacing w:lineRule="auto" w:line="228" w:before="0" w:after="0"/>
              <w:ind w:left="317" w:hanging="317"/>
              <w:contextualSpacing/>
              <w:rPr>
                <w:rFonts w:cs="Times New Roman"/>
                <w:color w:val="0D0D0D" w:themeColor="text1" w:themeTint="f2"/>
              </w:rPr>
            </w:pPr>
            <w:r>
              <w:rPr>
                <w:rFonts w:cs="Times New Roman"/>
                <w:color w:val="0D0D0D" w:themeColor="text1" w:themeTint="f2"/>
              </w:rPr>
              <w:t>Дефицит бюджета</w:t>
            </w:r>
          </w:p>
          <w:p>
            <w:pPr>
              <w:pStyle w:val="ListParagraph"/>
              <w:numPr>
                <w:ilvl w:val="0"/>
                <w:numId w:val="22"/>
              </w:numPr>
              <w:suppressAutoHyphens w:val="false"/>
              <w:spacing w:lineRule="auto" w:line="228" w:before="0" w:after="0"/>
              <w:ind w:left="317" w:hanging="317"/>
              <w:contextualSpacing/>
              <w:rPr>
                <w:rFonts w:cs="Times New Roman"/>
                <w:color w:val="0D0D0D" w:themeColor="text1" w:themeTint="f2"/>
              </w:rPr>
            </w:pPr>
            <w:r>
              <w:rPr>
                <w:rFonts w:cs="Times New Roman"/>
                <w:color w:val="0D0D0D" w:themeColor="text1" w:themeTint="f2"/>
              </w:rPr>
              <w:t>Недостаточное финансирование из федерального и областного бюджетов</w:t>
            </w:r>
          </w:p>
          <w:p>
            <w:pPr>
              <w:pStyle w:val="ListParagraph"/>
              <w:numPr>
                <w:ilvl w:val="0"/>
                <w:numId w:val="22"/>
              </w:numPr>
              <w:suppressAutoHyphens w:val="false"/>
              <w:spacing w:lineRule="auto" w:line="228" w:before="0" w:after="0"/>
              <w:ind w:left="317" w:hanging="317"/>
              <w:contextualSpacing/>
              <w:rPr>
                <w:rFonts w:cs="Times New Roman"/>
                <w:color w:val="0D0D0D" w:themeColor="text1" w:themeTint="f2"/>
              </w:rPr>
            </w:pPr>
            <w:r>
              <w:rPr>
                <w:rFonts w:cs="Times New Roman"/>
                <w:color w:val="0D0D0D" w:themeColor="text1" w:themeTint="f2"/>
              </w:rPr>
              <w:t>Дефицит квалифицированных кадров</w:t>
            </w:r>
          </w:p>
          <w:p>
            <w:pPr>
              <w:pStyle w:val="ListParagraph"/>
              <w:numPr>
                <w:ilvl w:val="0"/>
                <w:numId w:val="22"/>
              </w:numPr>
              <w:suppressAutoHyphens w:val="false"/>
              <w:spacing w:lineRule="auto" w:line="228" w:before="0" w:after="0"/>
              <w:ind w:left="317" w:hanging="317"/>
              <w:contextualSpacing/>
              <w:rPr>
                <w:rFonts w:cs="Times New Roman"/>
                <w:color w:val="0D0D0D" w:themeColor="text1" w:themeTint="f2"/>
              </w:rPr>
            </w:pPr>
            <w:r>
              <w:rPr>
                <w:rFonts w:cs="Times New Roman"/>
                <w:color w:val="0D0D0D" w:themeColor="text1" w:themeTint="f2"/>
              </w:rPr>
              <w:t xml:space="preserve">Дальнейшее природное разрушение памятников </w:t>
            </w:r>
          </w:p>
        </w:tc>
      </w:tr>
      <w:tr>
        <w:trPr/>
        <w:tc>
          <w:tcPr>
            <w:tcW w:w="9606" w:type="dxa"/>
            <w:gridSpan w:val="3"/>
            <w:tcBorders/>
            <w:shd w:color="auto" w:fill="618096" w:themeFill="accent4" w:themeFillShade="bf" w:val="clear"/>
          </w:tcPr>
          <w:p>
            <w:pPr>
              <w:pStyle w:val="ListParagraph"/>
              <w:spacing w:lineRule="auto" w:line="228" w:before="0" w:after="0"/>
              <w:ind w:left="0" w:hanging="0"/>
              <w:contextualSpacing/>
              <w:rPr>
                <w:rFonts w:cs="Times New Roman"/>
                <w:color w:val="0D0D0D" w:themeColor="text1" w:themeTint="f2"/>
              </w:rPr>
            </w:pPr>
            <w:r>
              <w:rPr>
                <w:rFonts w:cs="Times New Roman"/>
                <w:color w:val="0D0D0D" w:themeColor="text1" w:themeTint="f2"/>
              </w:rPr>
            </w:r>
          </w:p>
        </w:tc>
      </w:tr>
      <w:tr>
        <w:trPr/>
        <w:tc>
          <w:tcPr>
            <w:tcW w:w="534"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t>Туризм</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c>
          <w:tcPr>
            <w:tcW w:w="534" w:type="dxa"/>
            <w:vMerge w:val="continue"/>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r>
          </w:p>
        </w:tc>
        <w:tc>
          <w:tcPr>
            <w:tcW w:w="4536" w:type="dxa"/>
            <w:tcBorders/>
            <w:shd w:fill="auto" w:val="clear"/>
          </w:tcPr>
          <w:p>
            <w:pPr>
              <w:pStyle w:val="ListParagraph"/>
              <w:numPr>
                <w:ilvl w:val="0"/>
                <w:numId w:val="31"/>
              </w:numPr>
              <w:tabs>
                <w:tab w:val="clear" w:pos="708"/>
                <w:tab w:val="left" w:pos="0" w:leader="none"/>
              </w:tabs>
              <w:suppressAutoHyphens w:val="false"/>
              <w:spacing w:lineRule="auto" w:line="228" w:before="0" w:after="0"/>
              <w:ind w:left="317" w:hanging="317"/>
              <w:contextualSpacing/>
              <w:jc w:val="both"/>
              <w:rPr>
                <w:rFonts w:cs="Times New Roman"/>
                <w:color w:val="0D0D0D" w:themeColor="text1" w:themeTint="f2"/>
                <w:szCs w:val="28"/>
              </w:rPr>
            </w:pPr>
            <w:r>
              <w:rPr>
                <w:rFonts w:cs="Times New Roman"/>
                <w:color w:val="0D0D0D" w:themeColor="text1" w:themeTint="f2"/>
                <w:szCs w:val="28"/>
              </w:rPr>
              <w:t>Наличие значительного количества туристических объектов показа.</w:t>
            </w:r>
          </w:p>
          <w:p>
            <w:pPr>
              <w:pStyle w:val="ListParagraph"/>
              <w:numPr>
                <w:ilvl w:val="0"/>
                <w:numId w:val="31"/>
              </w:numPr>
              <w:suppressAutoHyphens w:val="false"/>
              <w:spacing w:lineRule="auto" w:line="228" w:before="0" w:after="0"/>
              <w:ind w:left="317" w:hanging="317"/>
              <w:contextualSpacing/>
              <w:jc w:val="both"/>
              <w:rPr>
                <w:rFonts w:cs="Times New Roman"/>
                <w:b/>
                <w:b/>
                <w:color w:val="0D0D0D" w:themeColor="text1" w:themeTint="f2"/>
                <w:szCs w:val="28"/>
              </w:rPr>
            </w:pPr>
            <w:r>
              <w:rPr>
                <w:rFonts w:cs="Times New Roman"/>
                <w:color w:val="0D0D0D" w:themeColor="text1" w:themeTint="f2"/>
                <w:szCs w:val="28"/>
              </w:rPr>
              <w:t>Проведение на территории муниципалитета событийных туристических мероприятий межрегионального и всероссийского уровней.</w:t>
            </w:r>
          </w:p>
        </w:tc>
        <w:tc>
          <w:tcPr>
            <w:tcW w:w="4536" w:type="dxa"/>
            <w:tcBorders/>
            <w:shd w:fill="auto" w:val="clear"/>
          </w:tcPr>
          <w:p>
            <w:pPr>
              <w:pStyle w:val="ListParagraph"/>
              <w:numPr>
                <w:ilvl w:val="0"/>
                <w:numId w:val="32"/>
              </w:numPr>
              <w:suppressAutoHyphens w:val="false"/>
              <w:spacing w:lineRule="auto" w:line="228" w:before="0" w:after="0"/>
              <w:ind w:left="317" w:hanging="284"/>
              <w:contextualSpacing/>
              <w:jc w:val="both"/>
              <w:rPr>
                <w:rFonts w:cs="Times New Roman"/>
                <w:color w:val="0D0D0D" w:themeColor="text1" w:themeTint="f2"/>
                <w:szCs w:val="28"/>
              </w:rPr>
            </w:pPr>
            <w:r>
              <w:rPr>
                <w:rFonts w:cs="Times New Roman"/>
                <w:color w:val="0D0D0D" w:themeColor="text1" w:themeTint="f2"/>
                <w:szCs w:val="28"/>
              </w:rPr>
              <w:t>Слабо развитая туристическая инфраструктура.</w:t>
            </w:r>
          </w:p>
          <w:p>
            <w:pPr>
              <w:pStyle w:val="ListParagraph"/>
              <w:numPr>
                <w:ilvl w:val="0"/>
                <w:numId w:val="32"/>
              </w:numPr>
              <w:suppressAutoHyphens w:val="false"/>
              <w:spacing w:lineRule="auto" w:line="228" w:before="0" w:after="0"/>
              <w:ind w:left="317" w:hanging="284"/>
              <w:contextualSpacing/>
              <w:jc w:val="both"/>
              <w:rPr>
                <w:rFonts w:cs="Times New Roman"/>
                <w:color w:val="0D0D0D" w:themeColor="text1" w:themeTint="f2"/>
                <w:szCs w:val="28"/>
              </w:rPr>
            </w:pPr>
            <w:r>
              <w:rPr>
                <w:rFonts w:cs="Times New Roman"/>
                <w:color w:val="0D0D0D" w:themeColor="text1" w:themeTint="f2"/>
                <w:szCs w:val="28"/>
              </w:rPr>
              <w:t>Слабое информационное освещение туристического потенциала территории.</w:t>
            </w:r>
          </w:p>
          <w:p>
            <w:pPr>
              <w:pStyle w:val="ListParagraph"/>
              <w:numPr>
                <w:ilvl w:val="0"/>
                <w:numId w:val="32"/>
              </w:numPr>
              <w:suppressAutoHyphens w:val="false"/>
              <w:spacing w:lineRule="auto" w:line="228" w:before="0" w:after="0"/>
              <w:ind w:left="317" w:hanging="284"/>
              <w:contextualSpacing/>
              <w:jc w:val="both"/>
              <w:rPr>
                <w:rFonts w:cs="Times New Roman"/>
                <w:b/>
                <w:b/>
                <w:color w:val="0D0D0D" w:themeColor="text1" w:themeTint="f2"/>
                <w:szCs w:val="28"/>
              </w:rPr>
            </w:pPr>
            <w:r>
              <w:rPr>
                <w:rFonts w:cs="Times New Roman"/>
                <w:color w:val="0D0D0D" w:themeColor="text1" w:themeTint="f2"/>
                <w:szCs w:val="28"/>
              </w:rPr>
              <w:t>Недостаточное количество подготовленных кадров в сфере туризма.</w:t>
            </w:r>
          </w:p>
        </w:tc>
      </w:tr>
      <w:tr>
        <w:trPr/>
        <w:tc>
          <w:tcPr>
            <w:tcW w:w="534" w:type="dxa"/>
            <w:vMerge w:val="continue"/>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c>
          <w:tcPr>
            <w:tcW w:w="534" w:type="dxa"/>
            <w:vMerge w:val="continue"/>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r>
          </w:p>
        </w:tc>
        <w:tc>
          <w:tcPr>
            <w:tcW w:w="4536" w:type="dxa"/>
            <w:tcBorders/>
            <w:shd w:fill="auto" w:val="clear"/>
          </w:tcPr>
          <w:p>
            <w:pPr>
              <w:pStyle w:val="ListParagraph"/>
              <w:numPr>
                <w:ilvl w:val="0"/>
                <w:numId w:val="33"/>
              </w:numPr>
              <w:suppressAutoHyphens w:val="false"/>
              <w:spacing w:lineRule="auto" w:line="228" w:before="0" w:after="0"/>
              <w:ind w:left="317" w:hanging="317"/>
              <w:contextualSpacing/>
              <w:jc w:val="both"/>
              <w:rPr>
                <w:rFonts w:cs="Times New Roman"/>
                <w:color w:val="0D0D0D" w:themeColor="text1" w:themeTint="f2"/>
                <w:szCs w:val="28"/>
              </w:rPr>
            </w:pPr>
            <w:r>
              <w:rPr>
                <w:rFonts w:cs="Times New Roman"/>
                <w:color w:val="0D0D0D" w:themeColor="text1" w:themeTint="f2"/>
                <w:szCs w:val="28"/>
              </w:rPr>
              <w:t>Создание новых туристических маршрутов.</w:t>
            </w:r>
          </w:p>
          <w:p>
            <w:pPr>
              <w:pStyle w:val="ListParagraph"/>
              <w:numPr>
                <w:ilvl w:val="0"/>
                <w:numId w:val="33"/>
              </w:numPr>
              <w:suppressAutoHyphens w:val="false"/>
              <w:spacing w:lineRule="auto" w:line="228" w:before="0" w:after="0"/>
              <w:ind w:left="317" w:hanging="317"/>
              <w:contextualSpacing/>
              <w:jc w:val="both"/>
              <w:rPr>
                <w:rFonts w:cs="Times New Roman"/>
                <w:color w:val="0D0D0D" w:themeColor="text1" w:themeTint="f2"/>
                <w:szCs w:val="28"/>
              </w:rPr>
            </w:pPr>
            <w:r>
              <w:rPr>
                <w:rFonts w:cs="Times New Roman"/>
                <w:color w:val="0D0D0D" w:themeColor="text1" w:themeTint="f2"/>
                <w:szCs w:val="28"/>
              </w:rPr>
              <w:t>Формирование туристического бренда муниципалитета.</w:t>
            </w:r>
          </w:p>
          <w:p>
            <w:pPr>
              <w:pStyle w:val="ListParagraph"/>
              <w:numPr>
                <w:ilvl w:val="0"/>
                <w:numId w:val="33"/>
              </w:numPr>
              <w:suppressAutoHyphens w:val="false"/>
              <w:spacing w:lineRule="auto" w:line="228" w:before="0" w:after="0"/>
              <w:ind w:left="317" w:hanging="317"/>
              <w:contextualSpacing/>
              <w:jc w:val="both"/>
              <w:rPr>
                <w:rFonts w:cs="Times New Roman"/>
                <w:b/>
                <w:b/>
                <w:color w:val="0D0D0D" w:themeColor="text1" w:themeTint="f2"/>
                <w:szCs w:val="28"/>
              </w:rPr>
            </w:pPr>
            <w:r>
              <w:rPr>
                <w:rFonts w:cs="Times New Roman"/>
                <w:color w:val="0D0D0D" w:themeColor="text1" w:themeTint="f2"/>
                <w:szCs w:val="28"/>
              </w:rPr>
              <w:t>Развитие индустрии производства сувенирной продукции.</w:t>
            </w:r>
          </w:p>
        </w:tc>
        <w:tc>
          <w:tcPr>
            <w:tcW w:w="4536" w:type="dxa"/>
            <w:tcBorders/>
            <w:shd w:fill="auto" w:val="clear"/>
          </w:tcPr>
          <w:p>
            <w:pPr>
              <w:pStyle w:val="ListParagraph"/>
              <w:numPr>
                <w:ilvl w:val="0"/>
                <w:numId w:val="34"/>
              </w:numPr>
              <w:suppressAutoHyphens w:val="false"/>
              <w:spacing w:lineRule="auto" w:line="228" w:before="0" w:after="0"/>
              <w:ind w:left="317" w:hanging="284"/>
              <w:contextualSpacing/>
              <w:jc w:val="both"/>
              <w:rPr>
                <w:rFonts w:cs="Times New Roman"/>
                <w:color w:val="0D0D0D" w:themeColor="text1" w:themeTint="f2"/>
                <w:szCs w:val="28"/>
              </w:rPr>
            </w:pPr>
            <w:r>
              <w:rPr>
                <w:rFonts w:cs="Times New Roman"/>
                <w:color w:val="0D0D0D" w:themeColor="text1" w:themeTint="f2"/>
                <w:szCs w:val="28"/>
              </w:rPr>
              <w:t>Нестабильность экономической обстановки.</w:t>
            </w:r>
          </w:p>
          <w:p>
            <w:pPr>
              <w:pStyle w:val="ListParagraph"/>
              <w:numPr>
                <w:ilvl w:val="0"/>
                <w:numId w:val="34"/>
              </w:numPr>
              <w:suppressAutoHyphens w:val="false"/>
              <w:spacing w:lineRule="auto" w:line="228" w:before="0" w:after="0"/>
              <w:ind w:left="317" w:hanging="284"/>
              <w:contextualSpacing/>
              <w:jc w:val="both"/>
              <w:rPr>
                <w:rFonts w:cs="Times New Roman"/>
                <w:b/>
                <w:b/>
                <w:color w:val="0D0D0D" w:themeColor="text1" w:themeTint="f2"/>
                <w:szCs w:val="28"/>
              </w:rPr>
            </w:pPr>
            <w:r>
              <w:rPr>
                <w:rFonts w:cs="Times New Roman"/>
                <w:color w:val="0D0D0D" w:themeColor="text1" w:themeTint="f2"/>
                <w:szCs w:val="28"/>
              </w:rPr>
              <w:t>Недостаточное финансирование.</w:t>
            </w:r>
            <w:r>
              <w:rPr>
                <w:rFonts w:cs="Times New Roman"/>
                <w:b/>
                <w:color w:val="0D0D0D" w:themeColor="text1" w:themeTint="f2"/>
                <w:szCs w:val="28"/>
              </w:rPr>
              <w:t xml:space="preserve"> </w:t>
            </w:r>
          </w:p>
        </w:tc>
      </w:tr>
      <w:tr>
        <w:trPr>
          <w:trHeight w:val="283" w:hRule="atLeast"/>
        </w:trPr>
        <w:tc>
          <w:tcPr>
            <w:tcW w:w="9606" w:type="dxa"/>
            <w:gridSpan w:val="3"/>
            <w:tcBorders/>
            <w:shd w:color="auto" w:fill="618096" w:themeFill="accent4" w:themeFillShade="bf" w:val="clear"/>
            <w:textDirection w:val="btLr"/>
            <w:vAlign w:val="cente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r>
          </w:p>
        </w:tc>
      </w:tr>
      <w:tr>
        <w:trPr/>
        <w:tc>
          <w:tcPr>
            <w:tcW w:w="534"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color w:val="0D0D0D" w:themeColor="text1" w:themeTint="f2"/>
              </w:rPr>
            </w:pPr>
            <w:r>
              <w:rPr>
                <w:rFonts w:cs="Times New Roman"/>
                <w:b/>
                <w:i/>
                <w:color w:val="0D0D0D" w:themeColor="text1" w:themeTint="f2"/>
              </w:rPr>
              <w:t>Здравоохранение</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c>
          <w:tcPr>
            <w:tcW w:w="534" w:type="dxa"/>
            <w:vMerge w:val="continue"/>
            <w:tcBorders/>
            <w:shd w:fill="auto" w:val="clear"/>
          </w:tcPr>
          <w:p>
            <w:pPr>
              <w:pStyle w:val="ListParagraph"/>
              <w:spacing w:lineRule="auto" w:line="22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3"/>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Положительная динамика обеспеченности врачами.</w:t>
            </w:r>
          </w:p>
          <w:p>
            <w:pPr>
              <w:pStyle w:val="ListParagraph"/>
              <w:numPr>
                <w:ilvl w:val="0"/>
                <w:numId w:val="23"/>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Высокая оценка удовлетворённости качеством оказания услуг ГУЗ «Тереньгульская районная больница».</w:t>
            </w:r>
          </w:p>
        </w:tc>
        <w:tc>
          <w:tcPr>
            <w:tcW w:w="4536" w:type="dxa"/>
            <w:tcBorders/>
            <w:shd w:fill="auto" w:val="clear"/>
          </w:tcPr>
          <w:p>
            <w:pPr>
              <w:pStyle w:val="ListParagraph"/>
              <w:numPr>
                <w:ilvl w:val="0"/>
                <w:numId w:val="23"/>
              </w:numPr>
              <w:suppressAutoHyphens w:val="false"/>
              <w:spacing w:lineRule="auto" w:line="228" w:before="0" w:after="0"/>
              <w:ind w:left="317" w:hanging="283"/>
              <w:contextualSpacing/>
              <w:rPr>
                <w:rFonts w:cs="Times New Roman"/>
                <w:color w:val="0D0D0D" w:themeColor="text1" w:themeTint="f2"/>
              </w:rPr>
            </w:pPr>
            <w:r>
              <w:rPr>
                <w:rFonts w:cs="Times New Roman"/>
                <w:color w:val="0D0D0D" w:themeColor="text1" w:themeTint="f2"/>
              </w:rPr>
              <w:t>Отрицательная динамика численности среднего медицинского персонала.</w:t>
            </w:r>
          </w:p>
          <w:p>
            <w:pPr>
              <w:pStyle w:val="ListParagraph"/>
              <w:numPr>
                <w:ilvl w:val="0"/>
                <w:numId w:val="23"/>
              </w:numPr>
              <w:suppressAutoHyphens w:val="false"/>
              <w:spacing w:lineRule="auto" w:line="228" w:before="0" w:after="0"/>
              <w:ind w:left="317" w:hanging="283"/>
              <w:contextualSpacing/>
              <w:rPr>
                <w:rFonts w:cs="Times New Roman"/>
                <w:color w:val="0D0D0D" w:themeColor="text1" w:themeTint="f2"/>
              </w:rPr>
            </w:pPr>
            <w:r>
              <w:rPr>
                <w:rFonts w:cs="Times New Roman"/>
                <w:color w:val="0D0D0D" w:themeColor="text1" w:themeTint="f2"/>
              </w:rPr>
              <w:t>Рост заболеваемости.</w:t>
            </w:r>
          </w:p>
          <w:p>
            <w:pPr>
              <w:pStyle w:val="ListParagraph"/>
              <w:numPr>
                <w:ilvl w:val="0"/>
                <w:numId w:val="23"/>
              </w:numPr>
              <w:suppressAutoHyphens w:val="false"/>
              <w:spacing w:lineRule="auto" w:line="228" w:before="0" w:after="0"/>
              <w:ind w:left="317" w:hanging="283"/>
              <w:contextualSpacing/>
              <w:rPr>
                <w:rFonts w:cs="Times New Roman"/>
                <w:color w:val="0D0D0D" w:themeColor="text1" w:themeTint="f2"/>
                <w:spacing w:val="-2"/>
              </w:rPr>
            </w:pPr>
            <w:r>
              <w:rPr>
                <w:rFonts w:cs="Times New Roman"/>
                <w:color w:val="0D0D0D" w:themeColor="text1" w:themeTint="f2"/>
                <w:spacing w:val="-2"/>
              </w:rPr>
              <w:t>Недооснащённость медицинским оборудованием, не полная обеспеченность ЛПУ лекарственными препаратами.</w:t>
            </w:r>
          </w:p>
          <w:p>
            <w:pPr>
              <w:pStyle w:val="ListParagraph"/>
              <w:suppressAutoHyphens w:val="false"/>
              <w:spacing w:lineRule="auto" w:line="228" w:before="0" w:after="0"/>
              <w:ind w:left="317" w:hanging="0"/>
              <w:contextualSpacing/>
              <w:rPr>
                <w:rFonts w:cs="Times New Roman"/>
                <w:color w:val="0D0D0D" w:themeColor="text1" w:themeTint="f2"/>
                <w:spacing w:val="-2"/>
              </w:rPr>
            </w:pPr>
            <w:r>
              <w:rPr>
                <w:rFonts w:cs="Times New Roman"/>
                <w:color w:val="0D0D0D" w:themeColor="text1" w:themeTint="f2"/>
                <w:spacing w:val="-2"/>
              </w:rPr>
            </w:r>
          </w:p>
        </w:tc>
      </w:tr>
      <w:tr>
        <w:trPr/>
        <w:tc>
          <w:tcPr>
            <w:tcW w:w="534" w:type="dxa"/>
            <w:vMerge w:val="continue"/>
            <w:tcBorders/>
            <w:shd w:fill="auto" w:val="clear"/>
          </w:tcPr>
          <w:p>
            <w:pPr>
              <w:pStyle w:val="ListParagraph"/>
              <w:spacing w:lineRule="auto" w:line="22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c>
          <w:tcPr>
            <w:tcW w:w="534" w:type="dxa"/>
            <w:vMerge w:val="continue"/>
            <w:tcBorders/>
            <w:shd w:fill="auto" w:val="clear"/>
          </w:tcPr>
          <w:p>
            <w:pPr>
              <w:pStyle w:val="ListParagraph"/>
              <w:spacing w:lineRule="auto" w:line="22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4"/>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Мониторинг состояния здравоохранения, независимая оценка качества услуг.</w:t>
            </w:r>
          </w:p>
          <w:p>
            <w:pPr>
              <w:pStyle w:val="ListParagraph"/>
              <w:numPr>
                <w:ilvl w:val="0"/>
                <w:numId w:val="24"/>
              </w:numPr>
              <w:suppressAutoHyphens w:val="false"/>
              <w:spacing w:lineRule="auto" w:line="228" w:before="0" w:after="0"/>
              <w:ind w:left="317" w:hanging="284"/>
              <w:contextualSpacing/>
              <w:jc w:val="both"/>
              <w:rPr>
                <w:rFonts w:cs="Times New Roman"/>
                <w:color w:val="0D0D0D" w:themeColor="text1" w:themeTint="f2"/>
                <w:spacing w:val="-2"/>
              </w:rPr>
            </w:pPr>
            <w:r>
              <w:rPr>
                <w:rFonts w:cs="Times New Roman"/>
                <w:color w:val="0D0D0D" w:themeColor="text1" w:themeTint="f2"/>
                <w:spacing w:val="-2"/>
              </w:rPr>
              <w:t>Приведение зданий в нормативное состояние, оснащение оборудованием и лекарственными препаратами ЛПУ за счёт участия в государственных программах развития здравоохранения.</w:t>
            </w:r>
          </w:p>
          <w:p>
            <w:pPr>
              <w:pStyle w:val="Normal"/>
              <w:suppressAutoHyphens w:val="false"/>
              <w:spacing w:lineRule="auto" w:line="228" w:before="0" w:after="0"/>
              <w:jc w:val="both"/>
              <w:rPr>
                <w:rFonts w:cs="Times New Roman"/>
                <w:color w:val="0D0D0D" w:themeColor="text1" w:themeTint="f2"/>
                <w:spacing w:val="-2"/>
                <w:lang w:val="en-US"/>
              </w:rPr>
            </w:pPr>
            <w:r>
              <w:rPr>
                <w:rFonts w:cs="Times New Roman"/>
                <w:color w:val="0D0D0D" w:themeColor="text1" w:themeTint="f2"/>
                <w:spacing w:val="-2"/>
                <w:lang w:val="en-US"/>
              </w:rPr>
            </w:r>
          </w:p>
        </w:tc>
        <w:tc>
          <w:tcPr>
            <w:tcW w:w="4536" w:type="dxa"/>
            <w:tcBorders/>
            <w:shd w:fill="auto" w:val="clear"/>
          </w:tcPr>
          <w:p>
            <w:pPr>
              <w:pStyle w:val="ListParagraph"/>
              <w:numPr>
                <w:ilvl w:val="0"/>
                <w:numId w:val="24"/>
              </w:numPr>
              <w:suppressAutoHyphens w:val="false"/>
              <w:spacing w:lineRule="auto" w:line="228" w:before="0" w:after="0"/>
              <w:ind w:left="459" w:hanging="425"/>
              <w:contextualSpacing/>
              <w:rPr>
                <w:rFonts w:cs="Times New Roman"/>
                <w:color w:val="0D0D0D" w:themeColor="text1" w:themeTint="f2"/>
              </w:rPr>
            </w:pPr>
            <w:r>
              <w:rPr>
                <w:rFonts w:cs="Times New Roman"/>
                <w:color w:val="0D0D0D" w:themeColor="text1" w:themeTint="f2"/>
              </w:rPr>
              <w:t>Недостаточное финансирование</w:t>
            </w:r>
          </w:p>
          <w:p>
            <w:pPr>
              <w:pStyle w:val="ListParagraph"/>
              <w:numPr>
                <w:ilvl w:val="0"/>
                <w:numId w:val="24"/>
              </w:numPr>
              <w:suppressAutoHyphens w:val="false"/>
              <w:spacing w:lineRule="auto" w:line="228" w:before="0" w:after="0"/>
              <w:ind w:left="459" w:hanging="425"/>
              <w:contextualSpacing/>
              <w:rPr>
                <w:rFonts w:cs="Times New Roman"/>
                <w:color w:val="0D0D0D" w:themeColor="text1" w:themeTint="f2"/>
              </w:rPr>
            </w:pPr>
            <w:r>
              <w:rPr>
                <w:rFonts w:cs="Times New Roman"/>
                <w:color w:val="0D0D0D" w:themeColor="text1" w:themeTint="f2"/>
              </w:rPr>
              <w:t>Дефицит квалифицированных кадров</w:t>
            </w:r>
          </w:p>
        </w:tc>
      </w:tr>
      <w:tr>
        <w:trPr/>
        <w:tc>
          <w:tcPr>
            <w:tcW w:w="9606" w:type="dxa"/>
            <w:gridSpan w:val="3"/>
            <w:tcBorders/>
            <w:shd w:color="auto" w:fill="618096" w:themeFill="accent4" w:themeFillShade="bf" w:val="clear"/>
          </w:tcPr>
          <w:p>
            <w:pPr>
              <w:pStyle w:val="ListParagraph"/>
              <w:spacing w:lineRule="auto" w:line="228" w:before="0" w:after="0"/>
              <w:ind w:left="0" w:hanging="0"/>
              <w:contextualSpacing/>
              <w:rPr>
                <w:rFonts w:cs="Times New Roman"/>
                <w:color w:val="0D0D0D" w:themeColor="text1" w:themeTint="f2"/>
              </w:rPr>
            </w:pPr>
            <w:r>
              <w:rPr>
                <w:rFonts w:cs="Times New Roman"/>
                <w:color w:val="0D0D0D" w:themeColor="text1" w:themeTint="f2"/>
              </w:rPr>
            </w:r>
          </w:p>
        </w:tc>
      </w:tr>
      <w:tr>
        <w:trPr>
          <w:trHeight w:val="270" w:hRule="atLeast"/>
          <w:cantSplit w:val="true"/>
        </w:trPr>
        <w:tc>
          <w:tcPr>
            <w:tcW w:w="534" w:type="dxa"/>
            <w:vMerge w:val="restart"/>
            <w:tcBorders/>
            <w:shd w:fill="auto" w:val="clear"/>
            <w:textDirection w:val="btLr"/>
          </w:tcPr>
          <w:p>
            <w:pPr>
              <w:pStyle w:val="ListParagraph"/>
              <w:spacing w:lineRule="auto" w:line="218" w:before="0" w:after="0"/>
              <w:ind w:left="113" w:right="113" w:hanging="0"/>
              <w:contextualSpacing/>
              <w:jc w:val="both"/>
              <w:rPr>
                <w:rFonts w:cs="Times New Roman"/>
                <w:b/>
                <w:b/>
                <w:color w:val="0D0D0D" w:themeColor="text1" w:themeTint="f2"/>
              </w:rPr>
            </w:pPr>
            <w:r>
              <w:rPr>
                <w:rFonts w:cs="Times New Roman"/>
                <w:b/>
                <w:i/>
                <w:color w:val="0D0D0D" w:themeColor="text1" w:themeTint="f2"/>
              </w:rPr>
              <w:t>Физическая культура и спорт</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c>
          <w:tcPr>
            <w:tcW w:w="534" w:type="dxa"/>
            <w:vMerge w:val="continue"/>
            <w:tcBorders/>
            <w:shd w:fill="auto" w:val="clear"/>
          </w:tcPr>
          <w:p>
            <w:pPr>
              <w:pStyle w:val="ListParagraph"/>
              <w:spacing w:lineRule="auto" w:line="21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5"/>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Положительная динамика приращения численности населения, занимающегося спортом и физической культурой в муниципальном образовании.</w:t>
            </w:r>
          </w:p>
          <w:p>
            <w:pPr>
              <w:pStyle w:val="ListParagraph"/>
              <w:numPr>
                <w:ilvl w:val="0"/>
                <w:numId w:val="25"/>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Наличие спортивной инфраструктуры для занятий базовыми видами спорта.</w:t>
            </w:r>
          </w:p>
        </w:tc>
        <w:tc>
          <w:tcPr>
            <w:tcW w:w="4536" w:type="dxa"/>
            <w:tcBorders/>
            <w:shd w:fill="auto" w:val="clear"/>
          </w:tcPr>
          <w:p>
            <w:pPr>
              <w:pStyle w:val="Default"/>
              <w:numPr>
                <w:ilvl w:val="0"/>
                <w:numId w:val="25"/>
              </w:numPr>
              <w:spacing w:lineRule="auto" w:line="218" w:before="0" w:after="0"/>
              <w:ind w:left="317" w:hanging="283"/>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Недостаточный уровень обеспеченности спортивными сооружениями сельских поселений для проведения физкультурно-оздоровительной и спортивно-массовой работы.</w:t>
            </w:r>
          </w:p>
          <w:p>
            <w:pPr>
              <w:pStyle w:val="Default"/>
              <w:numPr>
                <w:ilvl w:val="0"/>
                <w:numId w:val="25"/>
              </w:numPr>
              <w:spacing w:lineRule="auto" w:line="218" w:before="0" w:after="0"/>
              <w:ind w:left="317" w:hanging="283"/>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Нехватка инструкторов–организаторов спортивно-массовой работы в сельской местности.</w:t>
            </w:r>
          </w:p>
          <w:p>
            <w:pPr>
              <w:pStyle w:val="Default"/>
              <w:numPr>
                <w:ilvl w:val="0"/>
                <w:numId w:val="25"/>
              </w:numPr>
              <w:spacing w:lineRule="auto" w:line="218" w:before="0" w:after="0"/>
              <w:ind w:left="317" w:hanging="283"/>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Непривлекательность работы в учреждениях физической культуры и спорта для молодых специалистов.</w:t>
            </w:r>
          </w:p>
        </w:tc>
      </w:tr>
      <w:tr>
        <w:trPr/>
        <w:tc>
          <w:tcPr>
            <w:tcW w:w="534" w:type="dxa"/>
            <w:vMerge w:val="continue"/>
            <w:tcBorders/>
            <w:shd w:fill="auto" w:val="clear"/>
          </w:tcPr>
          <w:p>
            <w:pPr>
              <w:pStyle w:val="ListParagraph"/>
              <w:spacing w:lineRule="auto" w:line="21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c>
          <w:tcPr>
            <w:tcW w:w="534" w:type="dxa"/>
            <w:vMerge w:val="continue"/>
            <w:tcBorders/>
            <w:shd w:fill="auto" w:val="clear"/>
          </w:tcPr>
          <w:p>
            <w:pPr>
              <w:pStyle w:val="ListParagraph"/>
              <w:spacing w:lineRule="auto" w:line="21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Организация и проведение спортивных состязаний по различным направлениям спорта на территории муниципального образования.</w:t>
            </w:r>
          </w:p>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Активное участие в федеральном проекте Всероссийских сельских спортивных игр, выполнение нормативов Всероссийского физкультурно-спортивного комплекса «Готов к труду и обороне», а также в других общероссийских движениях и инициативах по оздоровлению нации.</w:t>
            </w:r>
          </w:p>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 xml:space="preserve">Модернизация физкультурно-спортивных сооружений как средства обеспечения долгосрочной политики развития физической культуры и спорта в муниципальном образовании. </w:t>
            </w:r>
          </w:p>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Повышение интереса различных категорий жителей к занятиям физической культурой и спортом путем освещения физкультурно-спортивной деятельности в муниципальных СМИ и на сайте администрации муниципального образования.</w:t>
            </w:r>
          </w:p>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Содействие трудоустройству молодых специалистов в сфере физической культуры и спорта.</w:t>
            </w:r>
          </w:p>
        </w:tc>
        <w:tc>
          <w:tcPr>
            <w:tcW w:w="4536" w:type="dxa"/>
            <w:tcBorders/>
            <w:shd w:fill="auto" w:val="clear"/>
          </w:tcPr>
          <w:p>
            <w:pPr>
              <w:pStyle w:val="Default"/>
              <w:numPr>
                <w:ilvl w:val="0"/>
                <w:numId w:val="27"/>
              </w:numPr>
              <w:spacing w:lineRule="auto" w:line="218" w:before="0" w:after="0"/>
              <w:ind w:left="317" w:hanging="317"/>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Недостаточное финансирование строительства новых спортивных объектов и реконструкции старых.</w:t>
            </w:r>
          </w:p>
          <w:p>
            <w:pPr>
              <w:pStyle w:val="Default"/>
              <w:numPr>
                <w:ilvl w:val="0"/>
                <w:numId w:val="27"/>
              </w:numPr>
              <w:spacing w:lineRule="auto" w:line="218" w:before="0" w:after="0"/>
              <w:ind w:left="317" w:hanging="317"/>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Недостаточное финансирование проведения спортивных мероприятий в муниципальном образовании.</w:t>
            </w:r>
          </w:p>
          <w:p>
            <w:pPr>
              <w:pStyle w:val="Default"/>
              <w:numPr>
                <w:ilvl w:val="0"/>
                <w:numId w:val="27"/>
              </w:numPr>
              <w:spacing w:lineRule="auto" w:line="218" w:before="0" w:after="0"/>
              <w:ind w:left="317" w:hanging="317"/>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Недостаточное финансирование на приобретение инвентаря и оборудования для спортивных объектов и учреждений.</w:t>
            </w:r>
          </w:p>
          <w:p>
            <w:pPr>
              <w:pStyle w:val="Default"/>
              <w:numPr>
                <w:ilvl w:val="0"/>
                <w:numId w:val="27"/>
              </w:numPr>
              <w:spacing w:lineRule="auto" w:line="218" w:before="0" w:after="0"/>
              <w:ind w:left="317" w:hanging="317"/>
              <w:jc w:val="both"/>
              <w:rPr>
                <w:rFonts w:ascii="Times New Roman" w:hAnsi="Times New Roman" w:cs="Times New Roman"/>
                <w:b/>
                <w:b/>
                <w:color w:val="0D0D0D" w:themeColor="text1" w:themeTint="f2"/>
              </w:rPr>
            </w:pPr>
            <w:r>
              <w:rPr>
                <w:rFonts w:cs="Times New Roman" w:ascii="Times New Roman" w:hAnsi="Times New Roman"/>
                <w:color w:val="0D0D0D" w:themeColor="text1" w:themeTint="f2"/>
              </w:rPr>
              <w:t>Недостаточное вовлечение различных категорий населения в регулярные занятия физической культурой и спортом в муниципальном образовании.</w:t>
            </w:r>
          </w:p>
        </w:tc>
      </w:tr>
      <w:tr>
        <w:trPr/>
        <w:tc>
          <w:tcPr>
            <w:tcW w:w="9606" w:type="dxa"/>
            <w:gridSpan w:val="3"/>
            <w:tcBorders/>
            <w:shd w:color="auto" w:fill="618096" w:themeFill="accent4" w:themeFillShade="bf" w:val="clear"/>
          </w:tcPr>
          <w:p>
            <w:pPr>
              <w:pStyle w:val="Default"/>
              <w:spacing w:lineRule="auto" w:line="218" w:before="0" w:after="0"/>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r>
          </w:p>
        </w:tc>
      </w:tr>
      <w:tr>
        <w:trPr/>
        <w:tc>
          <w:tcPr>
            <w:tcW w:w="534" w:type="dxa"/>
            <w:vMerge w:val="restart"/>
            <w:tcBorders/>
            <w:shd w:fill="auto" w:val="clear"/>
            <w:textDirection w:val="btLr"/>
            <w:vAlign w:val="center"/>
          </w:tcPr>
          <w:p>
            <w:pPr>
              <w:pStyle w:val="ListParagraph"/>
              <w:spacing w:lineRule="auto" w:line="218" w:before="0" w:after="0"/>
              <w:ind w:left="113" w:right="113" w:hanging="0"/>
              <w:contextualSpacing/>
              <w:jc w:val="center"/>
              <w:rPr>
                <w:rFonts w:cs="Times New Roman"/>
                <w:b/>
                <w:b/>
                <w:color w:val="0D0D0D" w:themeColor="text1" w:themeTint="f2"/>
              </w:rPr>
            </w:pPr>
            <w:r>
              <w:rPr>
                <w:rFonts w:cs="Times New Roman"/>
                <w:b/>
                <w:i/>
                <w:color w:val="0D0D0D" w:themeColor="text1" w:themeTint="f2"/>
              </w:rPr>
              <w:t>Молодёжная политика</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c>
          <w:tcPr>
            <w:tcW w:w="534" w:type="dxa"/>
            <w:vMerge w:val="continue"/>
            <w:tcBorders/>
            <w:shd w:fill="auto"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r>
          </w:p>
        </w:tc>
        <w:tc>
          <w:tcPr>
            <w:tcW w:w="4536" w:type="dxa"/>
            <w:tcBorders/>
            <w:shd w:fill="auto" w:val="clear"/>
          </w:tcPr>
          <w:p>
            <w:pPr>
              <w:pStyle w:val="ListParagraph"/>
              <w:numPr>
                <w:ilvl w:val="0"/>
                <w:numId w:val="29"/>
              </w:numPr>
              <w:suppressAutoHyphens w:val="false"/>
              <w:spacing w:lineRule="auto" w:line="218" w:before="0" w:after="0"/>
              <w:ind w:left="459" w:hanging="459"/>
              <w:contextualSpacing/>
              <w:rPr>
                <w:rFonts w:cs="Times New Roman"/>
                <w:color w:val="0D0D0D" w:themeColor="text1" w:themeTint="f2"/>
              </w:rPr>
            </w:pPr>
            <w:r>
              <w:rPr>
                <w:rFonts w:cs="Times New Roman"/>
                <w:color w:val="0D0D0D" w:themeColor="text1" w:themeTint="f2"/>
              </w:rPr>
              <w:t>Активная, талантливая молодёжь</w:t>
            </w:r>
          </w:p>
        </w:tc>
        <w:tc>
          <w:tcPr>
            <w:tcW w:w="4536" w:type="dxa"/>
            <w:tcBorders/>
            <w:shd w:fill="auto" w:val="clear"/>
          </w:tcPr>
          <w:p>
            <w:pPr>
              <w:pStyle w:val="ListParagraph"/>
              <w:numPr>
                <w:ilvl w:val="0"/>
                <w:numId w:val="28"/>
              </w:numPr>
              <w:suppressAutoHyphens w:val="false"/>
              <w:spacing w:lineRule="auto" w:line="218" w:before="0" w:after="0"/>
              <w:ind w:left="317" w:hanging="283"/>
              <w:contextualSpacing/>
              <w:jc w:val="both"/>
              <w:rPr>
                <w:rFonts w:cs="Times New Roman"/>
                <w:color w:val="0D0D0D" w:themeColor="text1" w:themeTint="f2"/>
              </w:rPr>
            </w:pPr>
            <w:r>
              <w:rPr>
                <w:rFonts w:cs="Times New Roman"/>
                <w:color w:val="0D0D0D" w:themeColor="text1" w:themeTint="f2"/>
              </w:rPr>
              <w:t>Крайне низкая доля (1%) молодёжи вовлечена в работу молодёжных общественных организаций.</w:t>
            </w:r>
          </w:p>
          <w:p>
            <w:pPr>
              <w:pStyle w:val="Default"/>
              <w:numPr>
                <w:ilvl w:val="0"/>
                <w:numId w:val="28"/>
              </w:numPr>
              <w:spacing w:lineRule="auto" w:line="218" w:before="0" w:after="0"/>
              <w:ind w:left="317" w:hanging="283"/>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Категория 19-30 лет не охвачена мероприятиями молодёжной политики.</w:t>
            </w:r>
          </w:p>
        </w:tc>
      </w:tr>
      <w:tr>
        <w:trPr/>
        <w:tc>
          <w:tcPr>
            <w:tcW w:w="534" w:type="dxa"/>
            <w:vMerge w:val="continue"/>
            <w:tcBorders/>
            <w:shd w:fill="auto"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c>
          <w:tcPr>
            <w:tcW w:w="534" w:type="dxa"/>
            <w:vMerge w:val="continue"/>
            <w:tcBorders/>
            <w:shd w:fill="auto"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r>
          </w:p>
        </w:tc>
        <w:tc>
          <w:tcPr>
            <w:tcW w:w="4536" w:type="dxa"/>
            <w:tcBorders/>
            <w:shd w:fill="auto" w:val="clear"/>
          </w:tcPr>
          <w:p>
            <w:pPr>
              <w:pStyle w:val="ListParagraph"/>
              <w:numPr>
                <w:ilvl w:val="0"/>
                <w:numId w:val="30"/>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Участие во всероссийских, областных молодёжных проектах</w:t>
            </w:r>
          </w:p>
          <w:p>
            <w:pPr>
              <w:pStyle w:val="ListParagraph"/>
              <w:numPr>
                <w:ilvl w:val="0"/>
                <w:numId w:val="30"/>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Создание условий для организации досуговой деятельности молодёжи, в том числе за счёт участия в гранатовых конкурсах.</w:t>
            </w:r>
          </w:p>
          <w:p>
            <w:pPr>
              <w:pStyle w:val="ListParagraph"/>
              <w:numPr>
                <w:ilvl w:val="0"/>
                <w:numId w:val="30"/>
              </w:numPr>
              <w:suppressAutoHyphens w:val="false"/>
              <w:spacing w:lineRule="auto" w:line="218" w:before="0" w:after="0"/>
              <w:ind w:left="317" w:hanging="284"/>
              <w:contextualSpacing/>
              <w:jc w:val="both"/>
              <w:rPr>
                <w:rFonts w:cs="Times New Roman"/>
                <w:color w:val="0D0D0D" w:themeColor="text1" w:themeTint="f2"/>
                <w:spacing w:val="-2"/>
              </w:rPr>
            </w:pPr>
            <w:r>
              <w:rPr>
                <w:rFonts w:cs="Times New Roman"/>
                <w:color w:val="0D0D0D" w:themeColor="text1" w:themeTint="f2"/>
                <w:spacing w:val="-2"/>
              </w:rPr>
              <w:t>Участие в программах, нацеленных на подготовку кадров и трудоустройство в организациях Тереньгульского района.</w:t>
            </w:r>
          </w:p>
        </w:tc>
        <w:tc>
          <w:tcPr>
            <w:tcW w:w="4536" w:type="dxa"/>
            <w:tcBorders/>
            <w:shd w:fill="auto" w:val="clear"/>
          </w:tcPr>
          <w:p>
            <w:pPr>
              <w:pStyle w:val="ListParagraph"/>
              <w:numPr>
                <w:ilvl w:val="0"/>
                <w:numId w:val="30"/>
              </w:numPr>
              <w:suppressAutoHyphens w:val="false"/>
              <w:spacing w:lineRule="auto" w:line="218" w:before="0" w:after="0"/>
              <w:ind w:left="317" w:hanging="360"/>
              <w:contextualSpacing/>
              <w:jc w:val="both"/>
              <w:rPr>
                <w:rFonts w:cs="Times New Roman"/>
                <w:color w:val="0D0D0D" w:themeColor="text1" w:themeTint="f2"/>
              </w:rPr>
            </w:pPr>
            <w:r>
              <w:rPr>
                <w:rFonts w:cs="Times New Roman"/>
                <w:color w:val="0D0D0D" w:themeColor="text1" w:themeTint="f2"/>
              </w:rPr>
              <w:t>Усиление конкуренции за человеческий капитал со стороны других муниципальных образований</w:t>
            </w:r>
          </w:p>
          <w:p>
            <w:pPr>
              <w:pStyle w:val="ListParagraph"/>
              <w:numPr>
                <w:ilvl w:val="0"/>
                <w:numId w:val="30"/>
              </w:numPr>
              <w:suppressAutoHyphens w:val="false"/>
              <w:spacing w:lineRule="auto" w:line="218" w:before="0" w:after="0"/>
              <w:ind w:left="317" w:hanging="283"/>
              <w:contextualSpacing/>
              <w:jc w:val="both"/>
              <w:rPr>
                <w:rFonts w:cs="Times New Roman"/>
                <w:color w:val="0D0D0D" w:themeColor="text1" w:themeTint="f2"/>
              </w:rPr>
            </w:pPr>
            <w:r>
              <w:rPr>
                <w:rFonts w:cs="Times New Roman"/>
                <w:color w:val="0D0D0D" w:themeColor="text1" w:themeTint="f2"/>
              </w:rPr>
              <w:t>Дальнейший отток молодёжи</w:t>
            </w:r>
          </w:p>
          <w:p>
            <w:pPr>
              <w:pStyle w:val="ListParagraph"/>
              <w:numPr>
                <w:ilvl w:val="0"/>
                <w:numId w:val="30"/>
              </w:numPr>
              <w:suppressAutoHyphens w:val="false"/>
              <w:spacing w:lineRule="auto" w:line="218" w:before="0" w:after="0"/>
              <w:ind w:left="317" w:hanging="283"/>
              <w:contextualSpacing/>
              <w:jc w:val="both"/>
              <w:rPr>
                <w:rFonts w:cs="Times New Roman"/>
                <w:color w:val="0D0D0D" w:themeColor="text1" w:themeTint="f2"/>
              </w:rPr>
            </w:pPr>
            <w:r>
              <w:rPr>
                <w:rFonts w:cs="Times New Roman"/>
                <w:color w:val="0D0D0D" w:themeColor="text1" w:themeTint="f2"/>
              </w:rPr>
              <w:t>Рост социальной напряжённости и преступности</w:t>
            </w:r>
          </w:p>
        </w:tc>
      </w:tr>
    </w:tbl>
    <w:p>
      <w:pPr>
        <w:pStyle w:val="ListParagraph"/>
        <w:ind w:left="0" w:firstLine="709"/>
        <w:jc w:val="both"/>
        <w:rPr>
          <w:rFonts w:cs="Times New Roman"/>
          <w:sz w:val="28"/>
          <w:szCs w:val="28"/>
        </w:rPr>
      </w:pPr>
      <w:r>
        <w:rPr>
          <w:rFonts w:cs="Times New Roman"/>
          <w:b/>
          <w:sz w:val="28"/>
          <w:szCs w:val="28"/>
        </w:rPr>
        <w:t>Стратегическая цель</w:t>
      </w:r>
      <w:r>
        <w:rPr>
          <w:rFonts w:cs="Times New Roman"/>
          <w:sz w:val="28"/>
          <w:szCs w:val="28"/>
        </w:rPr>
        <w:t xml:space="preserve"> – обеспечение качества жизни населения за счёт качественных преобразований в социальной сфере.</w:t>
      </w:r>
    </w:p>
    <w:p>
      <w:pPr>
        <w:pStyle w:val="ListParagraph"/>
        <w:ind w:left="0" w:firstLine="709"/>
        <w:jc w:val="both"/>
        <w:rPr>
          <w:rFonts w:cs="Times New Roman"/>
          <w:b/>
          <w:b/>
          <w:sz w:val="28"/>
          <w:szCs w:val="28"/>
          <w:u w:val="single"/>
        </w:rPr>
      </w:pPr>
      <w:r>
        <w:rPr>
          <w:rFonts w:cs="Times New Roman"/>
          <w:b/>
          <w:sz w:val="28"/>
          <w:szCs w:val="28"/>
          <w:u w:val="single"/>
        </w:rPr>
        <w:t>Приоритеты развития социальной сферы:</w:t>
      </w:r>
    </w:p>
    <w:p>
      <w:pPr>
        <w:pStyle w:val="ListParagraph"/>
        <w:ind w:left="0" w:firstLine="709"/>
        <w:jc w:val="both"/>
        <w:rPr>
          <w:rFonts w:cs="Times New Roman"/>
          <w:sz w:val="28"/>
          <w:szCs w:val="28"/>
        </w:rPr>
      </w:pPr>
      <w:r>
        <w:rPr>
          <w:rFonts w:cs="Times New Roman"/>
          <w:sz w:val="28"/>
          <w:szCs w:val="28"/>
        </w:rPr>
        <w:t>- улучшение демографической ситуации;</w:t>
      </w:r>
    </w:p>
    <w:p>
      <w:pPr>
        <w:pStyle w:val="ListParagraph"/>
        <w:ind w:left="0" w:firstLine="709"/>
        <w:jc w:val="both"/>
        <w:rPr>
          <w:rFonts w:cs="Times New Roman"/>
          <w:sz w:val="28"/>
          <w:szCs w:val="28"/>
        </w:rPr>
      </w:pPr>
      <w:r>
        <w:rPr>
          <w:rFonts w:cs="Times New Roman"/>
          <w:sz w:val="28"/>
          <w:szCs w:val="28"/>
        </w:rPr>
        <w:t>- качественные преобразования, повышение качества и доступности услуг в системе образования, культуры, туризма, физической культуры и спорта и здравоохранения;</w:t>
      </w:r>
    </w:p>
    <w:p>
      <w:pPr>
        <w:pStyle w:val="ListParagraph"/>
        <w:ind w:left="0" w:firstLine="709"/>
        <w:jc w:val="both"/>
        <w:rPr>
          <w:rFonts w:cs="Times New Roman"/>
          <w:sz w:val="28"/>
          <w:szCs w:val="28"/>
        </w:rPr>
      </w:pPr>
      <w:r>
        <w:rPr>
          <w:rFonts w:cs="Times New Roman"/>
          <w:sz w:val="28"/>
          <w:szCs w:val="28"/>
        </w:rPr>
        <w:t>- создание условий для успешной социализации, самореализации молодёжи, вовлечения в общественно полезную деятельность.</w:t>
      </w:r>
    </w:p>
    <w:p>
      <w:pPr>
        <w:pStyle w:val="ListParagraph"/>
        <w:ind w:left="0" w:firstLine="709"/>
        <w:jc w:val="both"/>
        <w:rPr>
          <w:rFonts w:cs="Times New Roman"/>
          <w:sz w:val="28"/>
          <w:szCs w:val="28"/>
        </w:rPr>
      </w:pPr>
      <w:r>
        <w:rPr>
          <w:rFonts w:cs="Times New Roman"/>
          <w:sz w:val="28"/>
          <w:szCs w:val="28"/>
        </w:rPr>
      </w:r>
    </w:p>
    <w:p>
      <w:pPr>
        <w:pStyle w:val="Normal"/>
        <w:rPr/>
      </w:pPr>
      <w:bookmarkStart w:id="41" w:name="_Toc4405006"/>
      <w:r>
        <w:rPr/>
        <w:t>2.1.1. Улучшение демографической ситуации</w:t>
      </w:r>
      <w:bookmarkEnd w:id="41"/>
    </w:p>
    <w:p>
      <w:pPr>
        <w:pStyle w:val="ListParagraph"/>
        <w:ind w:left="0" w:firstLine="709"/>
        <w:jc w:val="both"/>
        <w:rPr>
          <w:rFonts w:cs="Times New Roman"/>
          <w:sz w:val="28"/>
          <w:szCs w:val="28"/>
        </w:rPr>
      </w:pPr>
      <w:r>
        <w:rPr>
          <w:rFonts w:cs="Times New Roman"/>
          <w:sz w:val="28"/>
          <w:szCs w:val="28"/>
        </w:rPr>
        <w:t xml:space="preserve">Исходя из анализа демографической ситуации за 10 лет, целесообразно сделать акцент на исправлении ситуации с миграционным оттоком (доля миграции (55,7%) преобладает над естественной убылью) населения и снижении показателей смертности от наиболее распространённых заболеваний (от болезней системы кровообращения, от новообразований, от внешних причин). </w:t>
      </w:r>
    </w:p>
    <w:p>
      <w:pPr>
        <w:pStyle w:val="ListParagraph"/>
        <w:ind w:left="0" w:firstLine="709"/>
        <w:jc w:val="both"/>
        <w:rPr>
          <w:rFonts w:cs="Times New Roman"/>
          <w:b/>
          <w:b/>
          <w:i/>
          <w:i/>
          <w:sz w:val="28"/>
          <w:szCs w:val="28"/>
        </w:rPr>
      </w:pPr>
      <w:r>
        <w:rPr>
          <w:rFonts w:cs="Times New Roman"/>
          <w:b/>
          <w:i/>
          <w:sz w:val="28"/>
          <w:szCs w:val="28"/>
        </w:rPr>
        <w:t>Подцели:</w:t>
      </w:r>
    </w:p>
    <w:p>
      <w:pPr>
        <w:pStyle w:val="ListParagraph"/>
        <w:ind w:left="0" w:firstLine="709"/>
        <w:jc w:val="both"/>
        <w:rPr>
          <w:rFonts w:cs="Times New Roman"/>
          <w:b/>
          <w:b/>
          <w:i/>
          <w:i/>
          <w:sz w:val="28"/>
          <w:szCs w:val="28"/>
        </w:rPr>
      </w:pPr>
      <w:r>
        <w:rPr>
          <w:rFonts w:cs="Times New Roman"/>
          <w:b/>
          <w:i/>
          <w:sz w:val="28"/>
          <w:szCs w:val="28"/>
        </w:rPr>
        <w:t>- сокращение миграционного оттока к 2030 году в 2 раза по сравнению с 2017 годом;</w:t>
      </w:r>
    </w:p>
    <w:p>
      <w:pPr>
        <w:pStyle w:val="ListParagraph"/>
        <w:ind w:left="0" w:firstLine="709"/>
        <w:jc w:val="both"/>
        <w:rPr>
          <w:rFonts w:cs="Times New Roman"/>
          <w:b/>
          <w:b/>
          <w:i/>
          <w:i/>
          <w:sz w:val="28"/>
          <w:szCs w:val="28"/>
        </w:rPr>
      </w:pPr>
      <w:r>
        <w:rPr>
          <w:rFonts w:cs="Times New Roman"/>
          <w:b/>
          <w:i/>
          <w:sz w:val="28"/>
          <w:szCs w:val="28"/>
        </w:rPr>
        <w:t>- снижение смертности от наиболее распространённых заболеваний на 2,6% по сравнению с 2017 годом.</w:t>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607" w:type="dxa"/>
        <w:jc w:val="left"/>
        <w:tblInd w:w="108" w:type="dxa"/>
        <w:tblCellMar>
          <w:top w:w="0" w:type="dxa"/>
          <w:left w:w="108" w:type="dxa"/>
          <w:bottom w:w="0" w:type="dxa"/>
          <w:right w:w="108" w:type="dxa"/>
        </w:tblCellMar>
        <w:tblLook w:noVBand="1" w:val="04a0" w:noHBand="0" w:lastColumn="0" w:firstColumn="1" w:lastRow="0" w:firstRow="1"/>
      </w:tblPr>
      <w:tblGrid>
        <w:gridCol w:w="5244"/>
        <w:gridCol w:w="1418"/>
        <w:gridCol w:w="992"/>
        <w:gridCol w:w="994"/>
        <w:gridCol w:w="959"/>
      </w:tblGrid>
      <w:tr>
        <w:trPr/>
        <w:tc>
          <w:tcPr>
            <w:tcW w:w="5244"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59"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Численность населения, тыс. чел.</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17,7</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16,8</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16,5</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15,8</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Коэффициент рождаемости на 1000 чел. населения</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8,7</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8,7</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8,7</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8,7</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Коэффициент смертности на 1000 чел. населения</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14,6</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14,3</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13,9</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13,3</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Коэффициент миграционного прироста (убыли) на 1000 чел. населения</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color w:val="694E56" w:themeColor="accent6" w:themeShade="bf"/>
              </w:rPr>
            </w:pPr>
            <w:r>
              <w:rPr>
                <w:rFonts w:cs="Times New Roman"/>
                <w:color w:val="694E56" w:themeColor="accent6" w:themeShade="bf"/>
              </w:rPr>
              <w:t>-7,8</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-7,3</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-6,2</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-4,4</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Средняя продолжительность жизни, лет</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color w:val="694E56" w:themeColor="accent6" w:themeShade="bf"/>
              </w:rPr>
            </w:pPr>
            <w:r>
              <w:rPr>
                <w:rFonts w:cs="Times New Roman"/>
                <w:color w:val="694E56" w:themeColor="accent6" w:themeShade="bf"/>
              </w:rPr>
              <w:t>71</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73</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75</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78</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Показатель снижения коэффициента смертности населения обозначен в качестве целевого в национальном проекте «Здравоохранение». Такая динамика уже наметилась в последние годы. Показатель среднего возраста превышает целевой показатель дожития граждан, обозначенный в национальном проекте «Демография» (67 лет). Планируемое миграционное сальдо (разница между прибывшими и выбывшими) в 2020 году должно составить – 122 человека, в 2024 году – 102 человека, в 2030 году – 69 человек. Достижение данного показателя возможно за счёт привлечения ежегодно порядка 6 молодых специалистов в Тереньгульский район.</w:t>
      </w:r>
    </w:p>
    <w:p>
      <w:pPr>
        <w:pStyle w:val="ListParagraph"/>
        <w:ind w:left="0" w:firstLine="709"/>
        <w:jc w:val="both"/>
        <w:rPr>
          <w:rFonts w:cs="Times New Roman"/>
          <w:b/>
          <w:b/>
          <w:sz w:val="28"/>
          <w:szCs w:val="28"/>
        </w:rPr>
      </w:pPr>
      <w:r>
        <w:rPr>
          <w:rFonts w:cs="Times New Roman"/>
          <w:b/>
          <w:sz w:val="28"/>
          <w:szCs w:val="28"/>
        </w:rPr>
        <w:t>Задачи:</w:t>
      </w:r>
    </w:p>
    <w:p>
      <w:pPr>
        <w:pStyle w:val="ListParagraph"/>
        <w:tabs>
          <w:tab w:val="clear" w:pos="708"/>
          <w:tab w:val="left" w:pos="993" w:leader="none"/>
        </w:tabs>
        <w:ind w:left="0" w:firstLine="709"/>
        <w:jc w:val="both"/>
        <w:rPr>
          <w:rFonts w:cs="Times New Roman"/>
          <w:sz w:val="28"/>
          <w:szCs w:val="28"/>
        </w:rPr>
      </w:pPr>
      <w:r>
        <w:rPr>
          <w:rFonts w:cs="Times New Roman"/>
          <w:sz w:val="28"/>
          <w:szCs w:val="28"/>
        </w:rPr>
        <w:t>1.</w:t>
        <w:tab/>
        <w:t>Повышение качества и доступности услуг в сфере здравоохранения:</w:t>
      </w:r>
    </w:p>
    <w:p>
      <w:pPr>
        <w:pStyle w:val="ListParagraph"/>
        <w:ind w:left="0" w:firstLine="709"/>
        <w:jc w:val="both"/>
        <w:rPr>
          <w:rFonts w:cs="Times New Roman"/>
          <w:sz w:val="28"/>
          <w:szCs w:val="28"/>
        </w:rPr>
      </w:pPr>
      <w:r>
        <w:rPr>
          <w:rFonts w:cs="Times New Roman"/>
          <w:sz w:val="28"/>
          <w:szCs w:val="28"/>
        </w:rPr>
        <w:t>- сокращение кадрового дефицита в медицинских учреждениях;</w:t>
      </w:r>
    </w:p>
    <w:p>
      <w:pPr>
        <w:pStyle w:val="ListParagraph"/>
        <w:ind w:left="0" w:firstLine="709"/>
        <w:jc w:val="both"/>
        <w:rPr>
          <w:rFonts w:cs="Times New Roman"/>
          <w:sz w:val="28"/>
          <w:szCs w:val="28"/>
        </w:rPr>
      </w:pPr>
      <w:r>
        <w:rPr>
          <w:rFonts w:cs="Times New Roman"/>
          <w:sz w:val="28"/>
          <w:szCs w:val="28"/>
        </w:rPr>
        <w:t>- участие в проекте «Бережливая поликлиника»;</w:t>
      </w:r>
    </w:p>
    <w:p>
      <w:pPr>
        <w:pStyle w:val="ListParagraph"/>
        <w:ind w:left="0" w:firstLine="709"/>
        <w:jc w:val="both"/>
        <w:rPr>
          <w:rFonts w:cs="Times New Roman"/>
          <w:sz w:val="28"/>
          <w:szCs w:val="28"/>
        </w:rPr>
      </w:pPr>
      <w:r>
        <w:rPr>
          <w:rFonts w:cs="Times New Roman"/>
          <w:sz w:val="28"/>
          <w:szCs w:val="28"/>
        </w:rPr>
        <w:t>- оснащение и поддержание нормативного состояния медицинских учреждений;</w:t>
      </w:r>
    </w:p>
    <w:p>
      <w:pPr>
        <w:pStyle w:val="ListParagraph"/>
        <w:ind w:left="0" w:firstLine="709"/>
        <w:jc w:val="both"/>
        <w:rPr>
          <w:rFonts w:cs="Times New Roman"/>
          <w:sz w:val="28"/>
          <w:szCs w:val="28"/>
        </w:rPr>
      </w:pPr>
      <w:r>
        <w:rPr>
          <w:rFonts w:cs="Times New Roman"/>
          <w:sz w:val="28"/>
          <w:szCs w:val="28"/>
        </w:rPr>
        <w:t>- профилактическая работа с населением, повышение эффективности диспансеризации.</w:t>
      </w:r>
    </w:p>
    <w:p>
      <w:pPr>
        <w:pStyle w:val="ListParagraph"/>
        <w:tabs>
          <w:tab w:val="clear" w:pos="708"/>
          <w:tab w:val="left" w:pos="993" w:leader="none"/>
        </w:tabs>
        <w:ind w:left="0" w:firstLine="709"/>
        <w:jc w:val="both"/>
        <w:rPr>
          <w:rFonts w:cs="Times New Roman"/>
          <w:sz w:val="28"/>
          <w:szCs w:val="28"/>
        </w:rPr>
      </w:pPr>
      <w:r>
        <w:rPr>
          <w:rFonts w:cs="Times New Roman"/>
          <w:sz w:val="28"/>
          <w:szCs w:val="28"/>
        </w:rPr>
        <w:t>2.</w:t>
        <w:tab/>
        <w:t xml:space="preserve">Создание условий для «удержания» молодого населения, привлечения человеческого капитала для жизни и работы на территории муниципального образования: </w:t>
      </w:r>
    </w:p>
    <w:p>
      <w:pPr>
        <w:pStyle w:val="ListParagraph"/>
        <w:ind w:left="0" w:firstLine="709"/>
        <w:jc w:val="both"/>
        <w:rPr>
          <w:rFonts w:cs="Times New Roman"/>
          <w:sz w:val="28"/>
          <w:szCs w:val="28"/>
        </w:rPr>
      </w:pPr>
      <w:r>
        <w:rPr>
          <w:rFonts w:cs="Times New Roman"/>
          <w:sz w:val="28"/>
          <w:szCs w:val="28"/>
        </w:rPr>
        <w:t>- развитие социальной инфраструктуры;</w:t>
      </w:r>
    </w:p>
    <w:p>
      <w:pPr>
        <w:pStyle w:val="ListParagraph"/>
        <w:ind w:left="0" w:firstLine="709"/>
        <w:jc w:val="both"/>
        <w:rPr>
          <w:rFonts w:cs="Times New Roman"/>
          <w:sz w:val="28"/>
          <w:szCs w:val="28"/>
        </w:rPr>
      </w:pPr>
      <w:r>
        <w:rPr>
          <w:rFonts w:cs="Times New Roman"/>
          <w:sz w:val="28"/>
          <w:szCs w:val="28"/>
        </w:rPr>
        <w:t>- создание рабочих мест;</w:t>
      </w:r>
    </w:p>
    <w:p>
      <w:pPr>
        <w:pStyle w:val="ListParagraph"/>
        <w:ind w:left="0" w:firstLine="709"/>
        <w:jc w:val="both"/>
        <w:rPr>
          <w:rFonts w:cs="Times New Roman"/>
          <w:sz w:val="28"/>
          <w:szCs w:val="28"/>
        </w:rPr>
      </w:pPr>
      <w:r>
        <w:rPr>
          <w:rFonts w:cs="Times New Roman"/>
          <w:sz w:val="28"/>
          <w:szCs w:val="28"/>
        </w:rPr>
        <w:t>- профориентационная работа с молодёжью;</w:t>
      </w:r>
    </w:p>
    <w:p>
      <w:pPr>
        <w:pStyle w:val="ListParagraph"/>
        <w:ind w:left="0" w:firstLine="709"/>
        <w:jc w:val="both"/>
        <w:rPr>
          <w:rFonts w:cs="Times New Roman"/>
          <w:sz w:val="28"/>
          <w:szCs w:val="28"/>
        </w:rPr>
      </w:pPr>
      <w:r>
        <w:rPr>
          <w:rFonts w:cs="Times New Roman"/>
          <w:sz w:val="28"/>
          <w:szCs w:val="28"/>
        </w:rPr>
        <w:t>- социальная поддержка молодых специалистов.</w:t>
      </w:r>
    </w:p>
    <w:p>
      <w:pPr>
        <w:pStyle w:val="ListParagraph"/>
        <w:ind w:left="0" w:firstLine="709"/>
        <w:jc w:val="both"/>
        <w:rPr>
          <w:rFonts w:cs="Times New Roman"/>
          <w:sz w:val="28"/>
          <w:szCs w:val="28"/>
        </w:rPr>
      </w:pPr>
      <w:r>
        <w:rPr>
          <w:rFonts w:cs="Times New Roman"/>
          <w:sz w:val="28"/>
          <w:szCs w:val="28"/>
        </w:rPr>
      </w:r>
    </w:p>
    <w:p>
      <w:pPr>
        <w:pStyle w:val="Normal"/>
        <w:rPr/>
      </w:pPr>
      <w:bookmarkStart w:id="42" w:name="_Toc4405007"/>
      <w:r>
        <w:rPr/>
        <w:t>2.1.2. Качественные преобразования, повышение качества и доступности услуг в системе образования, культуры, туризма, здравоохранения, физической культуры и спорта</w:t>
      </w:r>
      <w:bookmarkEnd w:id="42"/>
    </w:p>
    <w:p>
      <w:pPr>
        <w:pStyle w:val="ListParagraph"/>
        <w:ind w:left="0" w:firstLine="709"/>
        <w:jc w:val="both"/>
        <w:rPr>
          <w:rFonts w:cs="Times New Roman"/>
          <w:b/>
          <w:b/>
          <w:i/>
          <w:i/>
          <w:sz w:val="28"/>
          <w:szCs w:val="28"/>
        </w:rPr>
      </w:pPr>
      <w:r>
        <w:rPr>
          <w:rFonts w:cs="Times New Roman"/>
          <w:b/>
          <w:i/>
          <w:sz w:val="28"/>
          <w:szCs w:val="28"/>
        </w:rPr>
        <w:t>Подцель – повышение качества и доступности услуг в сфере образования, культуры, здравоохранения, физической культуры и спорта.</w:t>
      </w:r>
    </w:p>
    <w:p>
      <w:pPr>
        <w:pStyle w:val="ListParagraph"/>
        <w:ind w:left="0" w:firstLine="709"/>
        <w:jc w:val="both"/>
        <w:rPr>
          <w:rFonts w:cs="Times New Roman"/>
          <w:b/>
          <w:b/>
          <w:sz w:val="28"/>
          <w:szCs w:val="28"/>
        </w:rPr>
      </w:pPr>
      <w:r>
        <w:rPr>
          <w:rFonts w:cs="Times New Roman"/>
          <w:b/>
          <w:sz w:val="28"/>
          <w:szCs w:val="28"/>
        </w:rPr>
      </w:r>
    </w:p>
    <w:p>
      <w:pPr>
        <w:pStyle w:val="32"/>
        <w:rPr>
          <w:i w:val="false"/>
          <w:i w:val="false"/>
        </w:rPr>
      </w:pPr>
      <w:bookmarkStart w:id="43" w:name="_Toc4405008"/>
      <w:r>
        <w:rPr>
          <w:i w:val="false"/>
        </w:rPr>
        <w:t>2.1.2.1. Образование</w:t>
      </w:r>
      <w:bookmarkEnd w:id="43"/>
    </w:p>
    <w:p>
      <w:pPr>
        <w:pStyle w:val="ListParagraph"/>
        <w:ind w:left="0" w:firstLine="709"/>
        <w:jc w:val="both"/>
        <w:rPr>
          <w:rFonts w:cs="Times New Roman"/>
          <w:sz w:val="28"/>
          <w:szCs w:val="28"/>
        </w:rPr>
      </w:pPr>
      <w:r>
        <w:rPr>
          <w:rFonts w:cs="Times New Roman"/>
          <w:sz w:val="28"/>
          <w:szCs w:val="28"/>
        </w:rPr>
        <w:t>Несмотря на то, что все семьи с детьми дошкольного возраста обеспечены местами в дошкольных образовательных организациях, в системе дошкольного образования остаётся ряд проблем: шаговая доступность дошкольных образовательных учреждений, изношенность зданий детских садов, «старение» кадров (12% - доля молодых специалистов).</w:t>
      </w:r>
    </w:p>
    <w:p>
      <w:pPr>
        <w:pStyle w:val="ListParagraph"/>
        <w:ind w:left="0" w:firstLine="709"/>
        <w:jc w:val="both"/>
        <w:rPr>
          <w:rFonts w:cs="Times New Roman"/>
          <w:sz w:val="28"/>
          <w:szCs w:val="28"/>
        </w:rPr>
      </w:pPr>
      <w:r>
        <w:rPr>
          <w:rFonts w:cs="Times New Roman"/>
          <w:sz w:val="28"/>
          <w:szCs w:val="28"/>
        </w:rPr>
        <w:t>В общеобразовательных организациях необходимо совершенствование материально-технической базы организации образовательной деятельности, модернизация оборудования в соответствие с требованиями федеральных государственных образовательных стандартов, оборудование медицинских кабинетов.</w:t>
      </w:r>
    </w:p>
    <w:p>
      <w:pPr>
        <w:pStyle w:val="ListParagraph"/>
        <w:ind w:left="0" w:firstLine="709"/>
        <w:jc w:val="both"/>
        <w:rPr>
          <w:rFonts w:cs="Times New Roman"/>
          <w:sz w:val="28"/>
          <w:szCs w:val="28"/>
        </w:rPr>
      </w:pPr>
      <w:r>
        <w:rPr>
          <w:rFonts w:cs="Times New Roman"/>
          <w:sz w:val="28"/>
          <w:szCs w:val="28"/>
        </w:rPr>
        <w:t xml:space="preserve">Наиболее острой остаётся проблема кадрового дефицита системы образования. Доля педагогических работников в системе общего образования составляет 48%. 32,5 % педагогов - это учителя в возрасте старше 50 лет. Доля молодых специалистов составляет 19% (8 человек). Большинство педагогов работают по совместительству. </w:t>
      </w:r>
    </w:p>
    <w:p>
      <w:pPr>
        <w:pStyle w:val="ListParagraph"/>
        <w:ind w:left="0" w:firstLine="709"/>
        <w:jc w:val="both"/>
        <w:rPr>
          <w:rFonts w:cs="Times New Roman"/>
          <w:sz w:val="28"/>
          <w:szCs w:val="28"/>
        </w:rPr>
      </w:pPr>
      <w:r>
        <w:rPr>
          <w:rFonts w:cs="Times New Roman"/>
          <w:sz w:val="28"/>
          <w:szCs w:val="28"/>
        </w:rPr>
        <w:t>Сохраняется проблема материально-технического оснащения организаций дополнительного образования детей.</w:t>
      </w:r>
    </w:p>
    <w:p>
      <w:pPr>
        <w:pStyle w:val="ListParagraph"/>
        <w:ind w:left="0" w:firstLine="709"/>
        <w:jc w:val="both"/>
        <w:rPr>
          <w:rFonts w:cs="Times New Roman"/>
          <w:b/>
          <w:b/>
          <w:i/>
          <w:i/>
          <w:sz w:val="28"/>
          <w:szCs w:val="28"/>
        </w:rPr>
      </w:pPr>
      <w:r>
        <w:rPr>
          <w:rFonts w:cs="Times New Roman"/>
          <w:b/>
          <w:i/>
          <w:sz w:val="28"/>
          <w:szCs w:val="28"/>
        </w:rPr>
        <w:t>Подцели:</w:t>
      </w:r>
    </w:p>
    <w:p>
      <w:pPr>
        <w:pStyle w:val="ListParagraph"/>
        <w:ind w:left="0" w:firstLine="709"/>
        <w:jc w:val="both"/>
        <w:rPr>
          <w:rFonts w:cs="Times New Roman"/>
          <w:b/>
          <w:b/>
          <w:i/>
          <w:i/>
          <w:sz w:val="28"/>
          <w:szCs w:val="28"/>
        </w:rPr>
      </w:pPr>
      <w:r>
        <w:rPr>
          <w:rFonts w:cs="Times New Roman"/>
          <w:i/>
          <w:sz w:val="28"/>
          <w:szCs w:val="28"/>
        </w:rPr>
        <w:t xml:space="preserve">- </w:t>
      </w:r>
      <w:r>
        <w:rPr>
          <w:rFonts w:cs="Times New Roman"/>
          <w:b/>
          <w:i/>
          <w:sz w:val="28"/>
          <w:szCs w:val="28"/>
        </w:rPr>
        <w:t>материально-техническая обеспеченность образовательных учреждений в соответствии с федеральными государственными образовательными стандартами – 100% к 2030 году;</w:t>
      </w:r>
    </w:p>
    <w:p>
      <w:pPr>
        <w:pStyle w:val="ListParagraph"/>
        <w:ind w:left="0" w:firstLine="709"/>
        <w:jc w:val="both"/>
        <w:rPr>
          <w:rFonts w:cs="Times New Roman"/>
          <w:b/>
          <w:b/>
          <w:i/>
          <w:i/>
          <w:sz w:val="28"/>
          <w:szCs w:val="28"/>
        </w:rPr>
      </w:pPr>
      <w:r>
        <w:rPr>
          <w:rFonts w:cs="Times New Roman"/>
          <w:b/>
          <w:i/>
          <w:sz w:val="28"/>
          <w:szCs w:val="28"/>
        </w:rPr>
        <w:t>- обеспечение кадровой потребности в сфере образования на 80% к 2030 году.</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607" w:type="dxa"/>
        <w:jc w:val="left"/>
        <w:tblInd w:w="108" w:type="dxa"/>
        <w:tblCellMar>
          <w:top w:w="0" w:type="dxa"/>
          <w:left w:w="108" w:type="dxa"/>
          <w:bottom w:w="0" w:type="dxa"/>
          <w:right w:w="108" w:type="dxa"/>
        </w:tblCellMar>
        <w:tblLook w:noVBand="1" w:val="04a0" w:noHBand="0" w:lastColumn="0" w:firstColumn="1" w:lastRow="0" w:firstRow="1"/>
      </w:tblPr>
      <w:tblGrid>
        <w:gridCol w:w="5244"/>
        <w:gridCol w:w="1418"/>
        <w:gridCol w:w="992"/>
        <w:gridCol w:w="994"/>
        <w:gridCol w:w="959"/>
      </w:tblGrid>
      <w:tr>
        <w:trPr/>
        <w:tc>
          <w:tcPr>
            <w:tcW w:w="5244"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59"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Обеспеченность детей дошкольного возраста местами в дошкольных образовательных учреждениях, %</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100,0</w:t>
            </w:r>
          </w:p>
          <w:p>
            <w:pPr>
              <w:pStyle w:val="ListParagraph"/>
              <w:spacing w:lineRule="auto" w:line="240" w:before="0" w:after="0"/>
              <w:ind w:left="0" w:firstLine="34"/>
              <w:contextualSpacing/>
              <w:jc w:val="center"/>
              <w:rPr>
                <w:rFonts w:cs="Times New Roman"/>
              </w:rPr>
            </w:pPr>
            <w:r>
              <w:rPr>
                <w:rFonts w:cs="Times New Roman"/>
              </w:rPr>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100,0</w:t>
            </w:r>
          </w:p>
          <w:p>
            <w:pPr>
              <w:pStyle w:val="ListParagraph"/>
              <w:spacing w:lineRule="auto" w:line="240" w:before="0" w:after="0"/>
              <w:ind w:left="0" w:firstLine="34"/>
              <w:contextualSpacing/>
              <w:jc w:val="center"/>
              <w:rPr>
                <w:rFonts w:cs="Times New Roman"/>
              </w:rPr>
            </w:pPr>
            <w:r>
              <w:rPr>
                <w:rFonts w:cs="Times New Roman"/>
              </w:rPr>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100,0</w:t>
            </w:r>
          </w:p>
          <w:p>
            <w:pPr>
              <w:pStyle w:val="ListParagraph"/>
              <w:spacing w:lineRule="auto" w:line="240" w:before="0" w:after="0"/>
              <w:ind w:left="0" w:firstLine="34"/>
              <w:contextualSpacing/>
              <w:jc w:val="center"/>
              <w:rPr>
                <w:rFonts w:cs="Times New Roman"/>
              </w:rPr>
            </w:pPr>
            <w:r>
              <w:rPr>
                <w:rFonts w:cs="Times New Roman"/>
              </w:rPr>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100,0</w:t>
            </w:r>
          </w:p>
          <w:p>
            <w:pPr>
              <w:pStyle w:val="ListParagraph"/>
              <w:spacing w:lineRule="auto" w:line="240" w:before="0" w:after="0"/>
              <w:ind w:left="0" w:firstLine="34"/>
              <w:contextualSpacing/>
              <w:jc w:val="center"/>
              <w:rPr>
                <w:rFonts w:cs="Times New Roman"/>
              </w:rPr>
            </w:pPr>
            <w:r>
              <w:rPr>
                <w:rFonts w:cs="Times New Roman"/>
              </w:rPr>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Охват детей программами дополнительного образования, %</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75,0</w:t>
            </w:r>
          </w:p>
        </w:tc>
        <w:tc>
          <w:tcPr>
            <w:tcW w:w="992" w:type="dxa"/>
            <w:tcBorders/>
            <w:shd w:fill="auto" w:val="clear"/>
            <w:vAlign w:val="center"/>
          </w:tcPr>
          <w:p>
            <w:pPr>
              <w:pStyle w:val="Normal"/>
              <w:spacing w:lineRule="auto" w:line="240" w:before="0" w:after="0"/>
              <w:jc w:val="center"/>
              <w:rPr/>
            </w:pPr>
            <w:r>
              <w:rPr/>
              <w:t>78,0</w:t>
            </w:r>
          </w:p>
        </w:tc>
        <w:tc>
          <w:tcPr>
            <w:tcW w:w="994" w:type="dxa"/>
            <w:tcBorders/>
            <w:shd w:fill="auto" w:val="clear"/>
            <w:vAlign w:val="center"/>
          </w:tcPr>
          <w:p>
            <w:pPr>
              <w:pStyle w:val="Normal"/>
              <w:spacing w:lineRule="auto" w:line="240" w:before="0" w:after="0"/>
              <w:jc w:val="center"/>
              <w:rPr/>
            </w:pPr>
            <w:r>
              <w:rPr/>
              <w:t>80,0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95,0</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Кадровая обеспеченность системы:</w:t>
            </w:r>
          </w:p>
          <w:p>
            <w:pPr>
              <w:pStyle w:val="ListParagraph"/>
              <w:spacing w:lineRule="auto" w:line="240" w:before="0" w:after="0"/>
              <w:ind w:left="0" w:hanging="11"/>
              <w:contextualSpacing/>
              <w:rPr>
                <w:rFonts w:cs="Times New Roman"/>
              </w:rPr>
            </w:pPr>
            <w:r>
              <w:rPr>
                <w:rFonts w:cs="Times New Roman"/>
              </w:rPr>
              <w:t>дошкольного,</w:t>
            </w:r>
          </w:p>
          <w:p>
            <w:pPr>
              <w:pStyle w:val="ListParagraph"/>
              <w:spacing w:lineRule="auto" w:line="240" w:before="0" w:after="0"/>
              <w:ind w:left="0" w:hanging="11"/>
              <w:contextualSpacing/>
              <w:rPr>
                <w:rFonts w:cs="Times New Roman"/>
              </w:rPr>
            </w:pPr>
            <w:r>
              <w:rPr>
                <w:rFonts w:cs="Times New Roman"/>
              </w:rPr>
              <w:t>общего</w:t>
            </w:r>
          </w:p>
          <w:p>
            <w:pPr>
              <w:pStyle w:val="ListParagraph"/>
              <w:spacing w:lineRule="auto" w:line="240" w:before="0" w:after="0"/>
              <w:ind w:left="0" w:hanging="11"/>
              <w:contextualSpacing/>
              <w:rPr>
                <w:rFonts w:cs="Times New Roman"/>
              </w:rPr>
            </w:pPr>
            <w:r>
              <w:rPr>
                <w:rFonts w:cs="Times New Roman"/>
              </w:rPr>
              <w:t>дополнительного образования педагогическими кадрами,%</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72,0</w:t>
            </w:r>
          </w:p>
          <w:p>
            <w:pPr>
              <w:pStyle w:val="ListParagraph"/>
              <w:spacing w:lineRule="auto" w:line="240" w:before="0" w:after="0"/>
              <w:ind w:left="0" w:firstLine="34"/>
              <w:contextualSpacing/>
              <w:jc w:val="center"/>
              <w:rPr>
                <w:rFonts w:cs="Times New Roman"/>
              </w:rPr>
            </w:pPr>
            <w:r>
              <w:rPr>
                <w:rFonts w:cs="Times New Roman"/>
              </w:rPr>
              <w:t>82,0</w:t>
            </w:r>
          </w:p>
          <w:p>
            <w:pPr>
              <w:pStyle w:val="ListParagraph"/>
              <w:spacing w:lineRule="auto" w:line="240" w:before="0" w:after="0"/>
              <w:ind w:left="0" w:firstLine="34"/>
              <w:contextualSpacing/>
              <w:jc w:val="center"/>
              <w:rPr>
                <w:rFonts w:cs="Times New Roman"/>
              </w:rPr>
            </w:pPr>
            <w:r>
              <w:rPr>
                <w:rFonts w:cs="Times New Roman"/>
              </w:rPr>
              <w:t>58,0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75,0</w:t>
            </w:r>
          </w:p>
          <w:p>
            <w:pPr>
              <w:pStyle w:val="ListParagraph"/>
              <w:spacing w:lineRule="auto" w:line="240" w:before="0" w:after="0"/>
              <w:ind w:left="0" w:firstLine="34"/>
              <w:contextualSpacing/>
              <w:jc w:val="center"/>
              <w:rPr>
                <w:rFonts w:cs="Times New Roman"/>
              </w:rPr>
            </w:pPr>
            <w:r>
              <w:rPr>
                <w:rFonts w:cs="Times New Roman"/>
              </w:rPr>
              <w:t>85,0</w:t>
            </w:r>
          </w:p>
          <w:p>
            <w:pPr>
              <w:pStyle w:val="ListParagraph"/>
              <w:spacing w:lineRule="auto" w:line="240" w:before="0" w:after="0"/>
              <w:ind w:left="0" w:firstLine="34"/>
              <w:contextualSpacing/>
              <w:jc w:val="center"/>
              <w:rPr>
                <w:rFonts w:cs="Times New Roman"/>
              </w:rPr>
            </w:pPr>
            <w:r>
              <w:rPr>
                <w:rFonts w:cs="Times New Roman"/>
              </w:rPr>
              <w:t>62,0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78,0</w:t>
            </w:r>
          </w:p>
          <w:p>
            <w:pPr>
              <w:pStyle w:val="ListParagraph"/>
              <w:spacing w:lineRule="auto" w:line="240" w:before="0" w:after="0"/>
              <w:ind w:left="0" w:firstLine="34"/>
              <w:contextualSpacing/>
              <w:jc w:val="center"/>
              <w:rPr>
                <w:rFonts w:cs="Times New Roman"/>
              </w:rPr>
            </w:pPr>
            <w:r>
              <w:rPr>
                <w:rFonts w:cs="Times New Roman"/>
              </w:rPr>
              <w:t>87,0</w:t>
            </w:r>
          </w:p>
          <w:p>
            <w:pPr>
              <w:pStyle w:val="ListParagraph"/>
              <w:spacing w:lineRule="auto" w:line="240" w:before="0" w:after="0"/>
              <w:ind w:left="0" w:firstLine="34"/>
              <w:contextualSpacing/>
              <w:jc w:val="center"/>
              <w:rPr>
                <w:rFonts w:cs="Times New Roman"/>
              </w:rPr>
            </w:pPr>
            <w:r>
              <w:rPr>
                <w:rFonts w:cs="Times New Roman"/>
              </w:rPr>
              <w:t>64,0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80,0</w:t>
            </w:r>
          </w:p>
          <w:p>
            <w:pPr>
              <w:pStyle w:val="ListParagraph"/>
              <w:spacing w:lineRule="auto" w:line="240" w:before="0" w:after="0"/>
              <w:ind w:left="0" w:firstLine="34"/>
              <w:contextualSpacing/>
              <w:jc w:val="center"/>
              <w:rPr>
                <w:rFonts w:cs="Times New Roman"/>
              </w:rPr>
            </w:pPr>
            <w:r>
              <w:rPr>
                <w:rFonts w:cs="Times New Roman"/>
              </w:rPr>
              <w:t>90,0</w:t>
            </w:r>
          </w:p>
          <w:p>
            <w:pPr>
              <w:pStyle w:val="ListParagraph"/>
              <w:spacing w:lineRule="auto" w:line="240" w:before="0" w:after="0"/>
              <w:ind w:left="0" w:firstLine="34"/>
              <w:contextualSpacing/>
              <w:jc w:val="center"/>
              <w:rPr>
                <w:rFonts w:cs="Times New Roman"/>
              </w:rPr>
            </w:pPr>
            <w:r>
              <w:rPr>
                <w:rFonts w:cs="Times New Roman"/>
              </w:rPr>
              <w:t>65,0</w:t>
            </w:r>
          </w:p>
        </w:tc>
      </w:tr>
    </w:tbl>
    <w:p>
      <w:pPr>
        <w:pStyle w:val="ListParagraph"/>
        <w:ind w:left="0" w:firstLine="709"/>
        <w:jc w:val="both"/>
        <w:rPr>
          <w:rFonts w:cs="Times New Roman"/>
          <w:b/>
          <w:b/>
          <w:sz w:val="28"/>
          <w:szCs w:val="28"/>
        </w:rPr>
      </w:pPr>
      <w:r>
        <w:rPr>
          <w:rFonts w:cs="Times New Roman"/>
          <w:b/>
          <w:sz w:val="28"/>
          <w:szCs w:val="28"/>
        </w:rPr>
        <w:t>Задачи:</w:t>
      </w:r>
    </w:p>
    <w:p>
      <w:pPr>
        <w:pStyle w:val="ListParagraph"/>
        <w:ind w:left="0" w:firstLine="709"/>
        <w:jc w:val="both"/>
        <w:rPr>
          <w:rFonts w:cs="Times New Roman"/>
          <w:sz w:val="28"/>
          <w:szCs w:val="28"/>
        </w:rPr>
      </w:pPr>
      <w:r>
        <w:rPr>
          <w:rFonts w:cs="Times New Roman"/>
          <w:sz w:val="28"/>
          <w:szCs w:val="28"/>
        </w:rPr>
        <w:t>1. Обеспечение доступности и комфортности получения образовательных услуг, в том числе для лиц с ОВЗ:</w:t>
      </w:r>
    </w:p>
    <w:p>
      <w:pPr>
        <w:pStyle w:val="ListParagraph"/>
        <w:ind w:left="0" w:firstLine="709"/>
        <w:jc w:val="both"/>
        <w:rPr>
          <w:rFonts w:cs="Times New Roman"/>
          <w:sz w:val="28"/>
          <w:szCs w:val="28"/>
        </w:rPr>
      </w:pPr>
      <w:r>
        <w:rPr>
          <w:rFonts w:cs="Times New Roman"/>
          <w:sz w:val="28"/>
          <w:szCs w:val="28"/>
        </w:rPr>
        <w:t>- строительство здания общеобразовательной школы в р.п. Тереньга;</w:t>
      </w:r>
    </w:p>
    <w:p>
      <w:pPr>
        <w:pStyle w:val="ListParagraph"/>
        <w:ind w:left="0" w:firstLine="709"/>
        <w:jc w:val="both"/>
        <w:rPr>
          <w:rFonts w:cs="Times New Roman"/>
          <w:sz w:val="28"/>
          <w:szCs w:val="28"/>
        </w:rPr>
      </w:pPr>
      <w:r>
        <w:rPr>
          <w:rFonts w:cs="Times New Roman"/>
          <w:sz w:val="28"/>
          <w:szCs w:val="28"/>
        </w:rPr>
        <w:t xml:space="preserve">- капитальный ремонт зданий Красноборской, Михайловской СОШ; </w:t>
      </w:r>
    </w:p>
    <w:p>
      <w:pPr>
        <w:pStyle w:val="ListParagraph"/>
        <w:ind w:left="0" w:firstLine="709"/>
        <w:jc w:val="both"/>
        <w:rPr>
          <w:rFonts w:cs="Times New Roman"/>
          <w:sz w:val="28"/>
          <w:szCs w:val="28"/>
        </w:rPr>
      </w:pPr>
      <w:r>
        <w:rPr>
          <w:rFonts w:cs="Times New Roman"/>
          <w:sz w:val="28"/>
          <w:szCs w:val="28"/>
        </w:rPr>
        <w:t xml:space="preserve">- текущий ремонт зданий, замена оконных блоков в Филиале Тереньгульского лицея Тумкинская СОШ, Скугарееской СОШ, Солдатскоташлинской СОШ, Зеленецской СОШ, Михайловской СОШ, Сосновской СОШ; </w:t>
      </w:r>
    </w:p>
    <w:p>
      <w:pPr>
        <w:pStyle w:val="ListParagraph"/>
        <w:ind w:left="0" w:firstLine="709"/>
        <w:jc w:val="both"/>
        <w:rPr>
          <w:rFonts w:cs="Times New Roman"/>
          <w:sz w:val="28"/>
          <w:szCs w:val="28"/>
        </w:rPr>
      </w:pPr>
      <w:r>
        <w:rPr>
          <w:rFonts w:cs="Times New Roman"/>
          <w:sz w:val="28"/>
          <w:szCs w:val="28"/>
        </w:rPr>
        <w:t xml:space="preserve">- ремонт кровли, отмостков, входных групп, спортивных залов, столовых в 100% общеобразовательных организаций; </w:t>
      </w:r>
    </w:p>
    <w:p>
      <w:pPr>
        <w:pStyle w:val="ListParagraph"/>
        <w:ind w:left="0" w:firstLine="709"/>
        <w:jc w:val="both"/>
        <w:rPr>
          <w:rFonts w:cs="Times New Roman"/>
          <w:sz w:val="28"/>
          <w:szCs w:val="28"/>
        </w:rPr>
      </w:pPr>
      <w:r>
        <w:rPr>
          <w:rFonts w:cs="Times New Roman"/>
          <w:sz w:val="28"/>
          <w:szCs w:val="28"/>
        </w:rPr>
        <w:t xml:space="preserve">- строительство здания детского сада на 70 мест в с. Солдатская Ташла; </w:t>
      </w:r>
    </w:p>
    <w:p>
      <w:pPr>
        <w:pStyle w:val="ListParagraph"/>
        <w:ind w:left="0" w:firstLine="709"/>
        <w:jc w:val="both"/>
        <w:rPr>
          <w:rFonts w:cs="Times New Roman"/>
          <w:sz w:val="28"/>
          <w:szCs w:val="28"/>
        </w:rPr>
      </w:pPr>
      <w:r>
        <w:rPr>
          <w:rFonts w:cs="Times New Roman"/>
          <w:sz w:val="28"/>
          <w:szCs w:val="28"/>
        </w:rPr>
        <w:t xml:space="preserve">- капитальный ремонт зданий ДОУ: Тумкинский детский сад, МДОУ «Жемчужинка», Ясашноташлинский детский сад, Солдатскоташлинский детский сад, МДОУ «Колосок», МДОУ «Солнышко», Михайловский детский сад, Сосновский детский сад; </w:t>
      </w:r>
    </w:p>
    <w:p>
      <w:pPr>
        <w:pStyle w:val="ListParagraph"/>
        <w:ind w:left="0" w:firstLine="709"/>
        <w:jc w:val="both"/>
        <w:rPr>
          <w:rFonts w:cs="Times New Roman"/>
          <w:sz w:val="28"/>
          <w:szCs w:val="28"/>
        </w:rPr>
      </w:pPr>
      <w:r>
        <w:rPr>
          <w:rFonts w:cs="Times New Roman"/>
          <w:sz w:val="28"/>
          <w:szCs w:val="28"/>
        </w:rPr>
        <w:t>- строительство, реконструкция беседок в ДОУ;</w:t>
      </w:r>
    </w:p>
    <w:p>
      <w:pPr>
        <w:pStyle w:val="ListParagraph"/>
        <w:ind w:left="0" w:firstLine="709"/>
        <w:jc w:val="both"/>
        <w:rPr>
          <w:rFonts w:cs="Times New Roman"/>
          <w:sz w:val="28"/>
          <w:szCs w:val="28"/>
        </w:rPr>
      </w:pPr>
      <w:r>
        <w:rPr>
          <w:rFonts w:cs="Times New Roman"/>
          <w:sz w:val="28"/>
          <w:szCs w:val="28"/>
        </w:rPr>
        <w:t xml:space="preserve">- замена оконных блоков в МДОУ «Колосок», МДОУ «Солнышко»; </w:t>
      </w:r>
    </w:p>
    <w:p>
      <w:pPr>
        <w:pStyle w:val="ListParagraph"/>
        <w:ind w:left="0" w:firstLine="709"/>
        <w:jc w:val="both"/>
        <w:rPr>
          <w:rFonts w:cs="Times New Roman"/>
          <w:sz w:val="28"/>
          <w:szCs w:val="28"/>
        </w:rPr>
      </w:pPr>
      <w:r>
        <w:rPr>
          <w:rFonts w:cs="Times New Roman"/>
          <w:sz w:val="28"/>
          <w:szCs w:val="28"/>
        </w:rPr>
        <w:t xml:space="preserve">- ремонт кровли и отмостки ЦДТ; </w:t>
      </w:r>
    </w:p>
    <w:p>
      <w:pPr>
        <w:pStyle w:val="ListParagraph"/>
        <w:ind w:left="0" w:firstLine="709"/>
        <w:jc w:val="both"/>
        <w:rPr>
          <w:rFonts w:cs="Times New Roman"/>
          <w:sz w:val="28"/>
          <w:szCs w:val="28"/>
        </w:rPr>
      </w:pPr>
      <w:r>
        <w:rPr>
          <w:rFonts w:cs="Times New Roman"/>
          <w:sz w:val="28"/>
          <w:szCs w:val="28"/>
        </w:rPr>
        <w:t>- обеспечение доступа в здания 100% образовательных организаций инвалидов и лиц с ОВЗ.</w:t>
      </w:r>
    </w:p>
    <w:p>
      <w:pPr>
        <w:pStyle w:val="ListParagraph"/>
        <w:ind w:left="0" w:firstLine="709"/>
        <w:jc w:val="both"/>
        <w:rPr>
          <w:rFonts w:cs="Times New Roman"/>
          <w:sz w:val="28"/>
          <w:szCs w:val="28"/>
        </w:rPr>
      </w:pPr>
      <w:r>
        <w:rPr>
          <w:rFonts w:cs="Times New Roman"/>
          <w:sz w:val="28"/>
          <w:szCs w:val="28"/>
        </w:rPr>
        <w:t>2. Приобретение современного оборудования для реализации программ общего и дополнительного образования, в том числе технической направленности, в соответствие с требованиями федеральных государственных образовательных стандартов:</w:t>
      </w:r>
    </w:p>
    <w:p>
      <w:pPr>
        <w:pStyle w:val="ListParagraph"/>
        <w:ind w:left="0" w:firstLine="709"/>
        <w:jc w:val="both"/>
        <w:rPr>
          <w:rFonts w:cs="Times New Roman"/>
          <w:sz w:val="28"/>
          <w:szCs w:val="28"/>
        </w:rPr>
      </w:pPr>
      <w:r>
        <w:rPr>
          <w:rFonts w:cs="Times New Roman"/>
          <w:sz w:val="28"/>
          <w:szCs w:val="28"/>
        </w:rPr>
        <w:t xml:space="preserve">- компьютерной техники, программного обеспечения, широкополосного интернета; </w:t>
      </w:r>
    </w:p>
    <w:p>
      <w:pPr>
        <w:pStyle w:val="ListParagraph"/>
        <w:ind w:left="0" w:firstLine="709"/>
        <w:jc w:val="both"/>
        <w:rPr>
          <w:rFonts w:cs="Times New Roman"/>
          <w:sz w:val="28"/>
          <w:szCs w:val="28"/>
        </w:rPr>
      </w:pPr>
      <w:r>
        <w:rPr>
          <w:rFonts w:cs="Times New Roman"/>
          <w:sz w:val="28"/>
          <w:szCs w:val="28"/>
        </w:rPr>
        <w:t xml:space="preserve">- технологического оборудования пищеблоков; </w:t>
      </w:r>
    </w:p>
    <w:p>
      <w:pPr>
        <w:pStyle w:val="ListParagraph"/>
        <w:ind w:left="0" w:firstLine="709"/>
        <w:jc w:val="both"/>
        <w:rPr>
          <w:rFonts w:cs="Times New Roman"/>
          <w:sz w:val="28"/>
          <w:szCs w:val="28"/>
        </w:rPr>
      </w:pPr>
      <w:r>
        <w:rPr>
          <w:rFonts w:cs="Times New Roman"/>
          <w:sz w:val="28"/>
          <w:szCs w:val="28"/>
        </w:rPr>
        <w:t xml:space="preserve">- игрового оборудования, оборудования для детских спортивных площадок в ДОУ; </w:t>
      </w:r>
    </w:p>
    <w:p>
      <w:pPr>
        <w:pStyle w:val="ListParagraph"/>
        <w:ind w:left="0" w:firstLine="709"/>
        <w:jc w:val="both"/>
        <w:rPr>
          <w:rFonts w:cs="Times New Roman"/>
          <w:sz w:val="28"/>
          <w:szCs w:val="28"/>
        </w:rPr>
      </w:pPr>
      <w:r>
        <w:rPr>
          <w:rFonts w:cs="Times New Roman"/>
          <w:sz w:val="28"/>
          <w:szCs w:val="28"/>
        </w:rPr>
        <w:t xml:space="preserve">- спортивного оборудования и инвентаря; </w:t>
      </w:r>
    </w:p>
    <w:p>
      <w:pPr>
        <w:pStyle w:val="ListParagraph"/>
        <w:ind w:left="0" w:firstLine="709"/>
        <w:jc w:val="both"/>
        <w:rPr>
          <w:rFonts w:cs="Times New Roman"/>
          <w:sz w:val="28"/>
          <w:szCs w:val="28"/>
        </w:rPr>
      </w:pPr>
      <w:r>
        <w:rPr>
          <w:rFonts w:cs="Times New Roman"/>
          <w:sz w:val="28"/>
          <w:szCs w:val="28"/>
        </w:rPr>
        <w:t>- медицинского оборудования общеобразовательных организаций;</w:t>
      </w:r>
    </w:p>
    <w:p>
      <w:pPr>
        <w:pStyle w:val="ListParagraph"/>
        <w:ind w:left="0" w:firstLine="709"/>
        <w:jc w:val="both"/>
        <w:rPr>
          <w:rFonts w:cs="Times New Roman"/>
          <w:sz w:val="28"/>
          <w:szCs w:val="28"/>
        </w:rPr>
      </w:pPr>
      <w:r>
        <w:rPr>
          <w:rFonts w:cs="Times New Roman"/>
          <w:sz w:val="28"/>
          <w:szCs w:val="28"/>
        </w:rPr>
        <w:t xml:space="preserve">- оборудования для инклюзивного образования. </w:t>
      </w:r>
    </w:p>
    <w:p>
      <w:pPr>
        <w:pStyle w:val="ListParagraph"/>
        <w:ind w:left="0" w:firstLine="709"/>
        <w:jc w:val="both"/>
        <w:rPr>
          <w:rFonts w:cs="Times New Roman"/>
          <w:sz w:val="28"/>
          <w:szCs w:val="28"/>
        </w:rPr>
      </w:pPr>
      <w:r>
        <w:rPr>
          <w:rFonts w:cs="Times New Roman"/>
          <w:sz w:val="28"/>
          <w:szCs w:val="28"/>
        </w:rPr>
        <w:t>3. Сокращение дефицита педагогических кадров в системе образования:</w:t>
      </w:r>
    </w:p>
    <w:p>
      <w:pPr>
        <w:pStyle w:val="ListParagraph"/>
        <w:ind w:left="0" w:firstLine="709"/>
        <w:jc w:val="both"/>
        <w:rPr>
          <w:rFonts w:cs="Times New Roman"/>
          <w:sz w:val="28"/>
          <w:szCs w:val="28"/>
        </w:rPr>
      </w:pPr>
      <w:r>
        <w:rPr>
          <w:rFonts w:cs="Times New Roman"/>
          <w:sz w:val="28"/>
          <w:szCs w:val="28"/>
        </w:rPr>
        <w:t>- прогноз потребности в кадрах до 2030 года;</w:t>
      </w:r>
    </w:p>
    <w:p>
      <w:pPr>
        <w:pStyle w:val="ListParagraph"/>
        <w:ind w:left="0" w:firstLine="709"/>
        <w:jc w:val="both"/>
        <w:rPr>
          <w:rFonts w:cs="Times New Roman"/>
          <w:sz w:val="28"/>
          <w:szCs w:val="28"/>
          <w:lang w:eastAsia="zh-CN"/>
        </w:rPr>
      </w:pPr>
      <w:r>
        <w:rPr>
          <w:rFonts w:cs="Times New Roman"/>
          <w:sz w:val="28"/>
          <w:szCs w:val="28"/>
        </w:rPr>
        <w:t xml:space="preserve">- </w:t>
      </w:r>
      <w:r>
        <w:rPr>
          <w:rFonts w:cs="Times New Roman"/>
          <w:sz w:val="28"/>
          <w:szCs w:val="28"/>
          <w:lang w:eastAsia="zh-CN"/>
        </w:rPr>
        <w:t>формирование целевого набора в образовательные организации высшего образования, организация сопровождения студентов педагогических вузов и ссузов;</w:t>
      </w:r>
    </w:p>
    <w:p>
      <w:pPr>
        <w:pStyle w:val="ListParagraph"/>
        <w:ind w:left="0" w:firstLine="709"/>
        <w:jc w:val="both"/>
        <w:rPr>
          <w:rFonts w:cs="Times New Roman"/>
          <w:sz w:val="28"/>
          <w:szCs w:val="28"/>
          <w:lang w:eastAsia="zh-CN"/>
        </w:rPr>
      </w:pPr>
      <w:r>
        <w:rPr>
          <w:rFonts w:cs="Times New Roman"/>
          <w:sz w:val="28"/>
          <w:szCs w:val="28"/>
          <w:lang w:eastAsia="zh-CN"/>
        </w:rPr>
        <w:t>- организация мест прохождения практики, содействие дальнейшему трудоустройству молодых специалистов;</w:t>
      </w:r>
    </w:p>
    <w:p>
      <w:pPr>
        <w:pStyle w:val="ListParagraph"/>
        <w:ind w:left="0" w:firstLine="709"/>
        <w:jc w:val="both"/>
        <w:rPr>
          <w:rFonts w:cs="Times New Roman"/>
          <w:sz w:val="28"/>
          <w:szCs w:val="28"/>
          <w:lang w:eastAsia="zh-CN"/>
        </w:rPr>
      </w:pPr>
      <w:r>
        <w:rPr>
          <w:rFonts w:cs="Times New Roman"/>
          <w:sz w:val="28"/>
          <w:szCs w:val="28"/>
          <w:lang w:eastAsia="zh-CN"/>
        </w:rPr>
        <w:t>- привлечение молодых специалистов из числа студентов педагогических вузов Ульяновской области и соседних регионов;</w:t>
      </w:r>
    </w:p>
    <w:p>
      <w:pPr>
        <w:pStyle w:val="ListParagraph"/>
        <w:ind w:left="0" w:firstLine="709"/>
        <w:jc w:val="both"/>
        <w:rPr>
          <w:rFonts w:cs="Times New Roman"/>
          <w:sz w:val="28"/>
          <w:szCs w:val="28"/>
          <w:lang w:eastAsia="zh-CN"/>
        </w:rPr>
      </w:pPr>
      <w:r>
        <w:rPr>
          <w:rFonts w:cs="Times New Roman"/>
          <w:sz w:val="28"/>
          <w:szCs w:val="28"/>
          <w:lang w:eastAsia="zh-CN"/>
        </w:rPr>
        <w:t xml:space="preserve">- повышение квалификации и профессиональной переподготовки педагогических кадров; </w:t>
      </w:r>
    </w:p>
    <w:p>
      <w:pPr>
        <w:pStyle w:val="ListParagraph"/>
        <w:ind w:left="0" w:firstLine="709"/>
        <w:jc w:val="both"/>
        <w:rPr>
          <w:rFonts w:cs="Times New Roman"/>
          <w:sz w:val="28"/>
          <w:szCs w:val="28"/>
          <w:lang w:eastAsia="zh-CN"/>
        </w:rPr>
      </w:pPr>
      <w:r>
        <w:rPr>
          <w:rFonts w:cs="Times New Roman"/>
          <w:sz w:val="28"/>
          <w:szCs w:val="28"/>
          <w:lang w:eastAsia="zh-CN"/>
        </w:rPr>
        <w:t>- пересмотр мер социальной поддержки молодых специалистов в отрасли образования, повышение уровня оплаты труда педагогических работников.</w:t>
      </w:r>
    </w:p>
    <w:p>
      <w:pPr>
        <w:pStyle w:val="ListParagraph"/>
        <w:ind w:left="0" w:firstLine="709"/>
        <w:jc w:val="both"/>
        <w:rPr>
          <w:rFonts w:cs="Times New Roman"/>
          <w:sz w:val="28"/>
          <w:szCs w:val="28"/>
        </w:rPr>
      </w:pPr>
      <w:r>
        <w:rPr>
          <w:rFonts w:cs="Times New Roman"/>
          <w:sz w:val="28"/>
          <w:szCs w:val="28"/>
        </w:rPr>
        <w:t>4. Развитие системы дополнительного профессионального образования (лицензирование общеобразовательных организаций на право осуществления образовательной деятельности по наиболее востребованным профессиям (специальностям) СПО).</w:t>
      </w:r>
    </w:p>
    <w:p>
      <w:pPr>
        <w:pStyle w:val="ListParagraph"/>
        <w:ind w:left="0" w:firstLine="709"/>
        <w:jc w:val="both"/>
        <w:rPr>
          <w:rFonts w:cs="Times New Roman"/>
          <w:sz w:val="28"/>
          <w:szCs w:val="28"/>
        </w:rPr>
      </w:pPr>
      <w:r>
        <w:rPr>
          <w:rFonts w:cs="Times New Roman"/>
          <w:sz w:val="28"/>
          <w:szCs w:val="28"/>
        </w:rPr>
        <w:t xml:space="preserve">5. Организация системы профориентационной работы </w:t>
        <w:br/>
        <w:t xml:space="preserve">в общеобразовательных организациях на базе предприятий Тереньгульского района и образовательных организаций среднего профессионального и высшего образования Ульяновской области: профориентационные тестирования, профориентационные родительские собрания, экскурсии на предприятия, стажировки, встречи с представителями профессий, участие в Днях открытых дверей образовательных организаций Ульяновской области; размещение </w:t>
        <w:br/>
        <w:t>в СМИ информации об образовательных организациях Ульяновской области, направлениях подготовки, о потребности в кадрах организаций района.</w:t>
      </w:r>
    </w:p>
    <w:p>
      <w:pPr>
        <w:pStyle w:val="ListParagraph"/>
        <w:ind w:left="0" w:firstLine="709"/>
        <w:jc w:val="both"/>
        <w:rPr>
          <w:rFonts w:cs="Times New Roman"/>
          <w:sz w:val="28"/>
          <w:szCs w:val="28"/>
        </w:rPr>
      </w:pPr>
      <w:r>
        <w:rPr>
          <w:rFonts w:cs="Times New Roman"/>
          <w:sz w:val="28"/>
          <w:szCs w:val="28"/>
        </w:rPr>
        <w:t xml:space="preserve">Решение указанных задач позволит выполнить указанные в национальном проекте «Образование» целевые задачи: улучшить и повысить качество современных методов образования, предоставить широкие возможности </w:t>
        <w:br/>
        <w:t>для развития талантливых людей, создать современную и безопасную цифровую образовательную среду.</w:t>
      </w:r>
    </w:p>
    <w:p>
      <w:pPr>
        <w:pStyle w:val="ListParagraph"/>
        <w:ind w:left="0" w:firstLine="709"/>
        <w:jc w:val="both"/>
        <w:rPr>
          <w:rFonts w:cs="Times New Roman"/>
          <w:b/>
          <w:b/>
          <w:sz w:val="28"/>
          <w:szCs w:val="28"/>
        </w:rPr>
      </w:pPr>
      <w:r>
        <w:rPr>
          <w:rFonts w:cs="Times New Roman"/>
          <w:b/>
          <w:sz w:val="28"/>
          <w:szCs w:val="28"/>
        </w:rPr>
      </w:r>
    </w:p>
    <w:p>
      <w:pPr>
        <w:pStyle w:val="32"/>
        <w:rPr>
          <w:i w:val="false"/>
          <w:i w:val="false"/>
        </w:rPr>
      </w:pPr>
      <w:bookmarkStart w:id="44" w:name="_Toc4405009"/>
      <w:r>
        <w:rPr>
          <w:i w:val="false"/>
        </w:rPr>
        <w:t>2.1.2.2. Культура</w:t>
      </w:r>
      <w:bookmarkEnd w:id="44"/>
    </w:p>
    <w:p>
      <w:pPr>
        <w:pStyle w:val="ListParagraph"/>
        <w:ind w:left="0" w:firstLine="709"/>
        <w:jc w:val="both"/>
        <w:rPr>
          <w:rFonts w:cs="Times New Roman"/>
          <w:sz w:val="28"/>
          <w:szCs w:val="28"/>
        </w:rPr>
      </w:pPr>
      <w:r>
        <w:rPr>
          <w:rFonts w:cs="Times New Roman"/>
          <w:sz w:val="28"/>
          <w:szCs w:val="28"/>
        </w:rPr>
        <w:t>Ввиду того, что в отрасли культуры 21% работников пенсионного возраста, только 7% (9 человек) моложе 30 лет, 7,7% имеют высшее образование, отрасль нуждается в омоложении и развитии кадрового потенциала.</w:t>
      </w:r>
    </w:p>
    <w:p>
      <w:pPr>
        <w:pStyle w:val="ListParagraph"/>
        <w:ind w:left="0" w:firstLine="709"/>
        <w:jc w:val="both"/>
        <w:rPr>
          <w:rFonts w:cs="Times New Roman"/>
          <w:sz w:val="28"/>
          <w:szCs w:val="28"/>
        </w:rPr>
      </w:pPr>
      <w:r>
        <w:rPr>
          <w:rFonts w:cs="Times New Roman"/>
          <w:sz w:val="28"/>
          <w:szCs w:val="28"/>
        </w:rPr>
        <w:t>Кроме того, вызывает опасение состояние учреждений культуры. 18% зданий находятся в аварийном состоянии или требуют капитального ремонта. 69% получателей услуг в сфере культуры не удовлетворены комфортностью предоставления услуг, 33% - материально-техническим обеспечением учреждений.</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i/>
          <w:i/>
          <w:sz w:val="28"/>
          <w:szCs w:val="28"/>
        </w:rPr>
      </w:pPr>
      <w:r>
        <w:rPr>
          <w:rFonts w:cs="Times New Roman"/>
          <w:b/>
          <w:i/>
          <w:sz w:val="28"/>
          <w:szCs w:val="28"/>
        </w:rPr>
        <w:t>Подцели:</w:t>
      </w:r>
    </w:p>
    <w:p>
      <w:pPr>
        <w:pStyle w:val="ListParagraph"/>
        <w:ind w:left="0" w:firstLine="709"/>
        <w:jc w:val="both"/>
        <w:rPr>
          <w:rFonts w:cs="Times New Roman"/>
          <w:b/>
          <w:b/>
          <w:i/>
          <w:i/>
          <w:sz w:val="28"/>
          <w:szCs w:val="28"/>
        </w:rPr>
      </w:pPr>
      <w:r>
        <w:rPr>
          <w:rFonts w:cs="Times New Roman"/>
          <w:b/>
          <w:i/>
          <w:sz w:val="28"/>
          <w:szCs w:val="28"/>
        </w:rPr>
        <w:t>- сохранение и развитие историко-культурного потенциала района, создание условий (смыслового наполнения) для формирования развитой туристической инфраструктуры;</w:t>
      </w:r>
    </w:p>
    <w:p>
      <w:pPr>
        <w:pStyle w:val="ListParagraph"/>
        <w:ind w:left="0" w:firstLine="709"/>
        <w:jc w:val="both"/>
        <w:rPr>
          <w:rFonts w:cs="Times New Roman"/>
          <w:b/>
          <w:b/>
          <w:i/>
          <w:i/>
          <w:sz w:val="28"/>
          <w:szCs w:val="28"/>
        </w:rPr>
      </w:pPr>
      <w:r>
        <w:rPr>
          <w:rFonts w:cs="Times New Roman"/>
          <w:b/>
          <w:i/>
          <w:sz w:val="28"/>
          <w:szCs w:val="28"/>
        </w:rPr>
        <w:t>- укрепление и модернизация к 2030 году 80% материально-технической базы учреждений культуры;</w:t>
      </w:r>
    </w:p>
    <w:p>
      <w:pPr>
        <w:pStyle w:val="ListParagraph"/>
        <w:ind w:left="0" w:firstLine="709"/>
        <w:jc w:val="both"/>
        <w:rPr>
          <w:rFonts w:cs="Times New Roman"/>
          <w:b/>
          <w:b/>
          <w:i/>
          <w:i/>
          <w:sz w:val="28"/>
          <w:szCs w:val="28"/>
        </w:rPr>
      </w:pPr>
      <w:r>
        <w:rPr>
          <w:rFonts w:cs="Times New Roman"/>
          <w:b/>
          <w:i/>
          <w:sz w:val="28"/>
          <w:szCs w:val="28"/>
        </w:rPr>
        <w:t>- обеспечение профессионально-квалификационной и количественной потребности в кадрах учреждений культуры на 70% к 2030 году.</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746" w:type="dxa"/>
        <w:jc w:val="left"/>
        <w:tblInd w:w="108" w:type="dxa"/>
        <w:tblCellMar>
          <w:top w:w="0" w:type="dxa"/>
          <w:left w:w="108" w:type="dxa"/>
          <w:bottom w:w="0" w:type="dxa"/>
          <w:right w:w="108" w:type="dxa"/>
        </w:tblCellMar>
        <w:tblLook w:noVBand="1" w:val="04a0" w:noHBand="0" w:lastColumn="0" w:firstColumn="1" w:lastRow="0" w:firstRow="1"/>
      </w:tblPr>
      <w:tblGrid>
        <w:gridCol w:w="5385"/>
        <w:gridCol w:w="1417"/>
        <w:gridCol w:w="993"/>
        <w:gridCol w:w="992"/>
        <w:gridCol w:w="959"/>
      </w:tblGrid>
      <w:tr>
        <w:trPr/>
        <w:tc>
          <w:tcPr>
            <w:tcW w:w="5385"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9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59"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385" w:type="dxa"/>
            <w:tcBorders/>
            <w:shd w:fill="auto" w:val="clear"/>
          </w:tcPr>
          <w:p>
            <w:pPr>
              <w:pStyle w:val="Normal"/>
              <w:spacing w:lineRule="auto" w:line="240" w:before="0" w:after="0"/>
              <w:contextualSpacing/>
              <w:jc w:val="both"/>
              <w:rPr>
                <w:rFonts w:eastAsia="Calibri" w:cs="Times New Roman"/>
              </w:rPr>
            </w:pPr>
            <w:r>
              <w:rPr>
                <w:rFonts w:eastAsia="Calibri" w:cs="Times New Roman"/>
              </w:rPr>
              <w:t>Доля учреждений культуры, здания которых находятся в аварийном состоянии или требуют капитального ремонта, в общем количестве учреждений культуры, %</w:t>
            </w:r>
          </w:p>
        </w:tc>
        <w:tc>
          <w:tcPr>
            <w:tcW w:w="1417" w:type="dxa"/>
            <w:tcBorders/>
            <w:shd w:fill="auto" w:val="clear"/>
            <w:vAlign w:val="center"/>
          </w:tcPr>
          <w:p>
            <w:pPr>
              <w:pStyle w:val="Normal"/>
              <w:spacing w:lineRule="auto" w:line="240" w:before="0" w:after="0"/>
              <w:jc w:val="center"/>
              <w:rPr>
                <w:rFonts w:eastAsia="Calibri" w:cs="Times New Roman"/>
              </w:rPr>
            </w:pPr>
            <w:r>
              <w:rPr>
                <w:rFonts w:eastAsia="Calibri" w:cs="Times New Roman"/>
              </w:rPr>
              <w:t>23,0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r>
      <w:tr>
        <w:trPr/>
        <w:tc>
          <w:tcPr>
            <w:tcW w:w="5385" w:type="dxa"/>
            <w:tcBorders/>
            <w:shd w:fill="auto" w:val="clear"/>
          </w:tcPr>
          <w:p>
            <w:pPr>
              <w:pStyle w:val="Normal"/>
              <w:spacing w:lineRule="auto" w:line="240" w:before="0" w:after="0"/>
              <w:contextualSpacing/>
              <w:rPr>
                <w:rFonts w:eastAsia="Calibri" w:cs="Times New Roman"/>
              </w:rPr>
            </w:pPr>
            <w:r>
              <w:rPr>
                <w:rFonts w:eastAsia="Calibri" w:cs="Times New Roman"/>
              </w:rPr>
              <w:t>Доля населения, являющегося участниками клубных формирований, %</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8,1</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10,1</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14,1</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14,1</w:t>
            </w:r>
          </w:p>
        </w:tc>
      </w:tr>
      <w:tr>
        <w:trPr/>
        <w:tc>
          <w:tcPr>
            <w:tcW w:w="5385" w:type="dxa"/>
            <w:tcBorders/>
            <w:shd w:fill="auto" w:val="clear"/>
          </w:tcPr>
          <w:p>
            <w:pPr>
              <w:pStyle w:val="Normal"/>
              <w:spacing w:lineRule="auto" w:line="240" w:before="0" w:after="0"/>
              <w:contextualSpacing/>
              <w:rPr>
                <w:rFonts w:eastAsia="Calibri" w:cs="Times New Roman"/>
              </w:rPr>
            </w:pPr>
            <w:r>
              <w:rPr>
                <w:rFonts w:eastAsia="Calibri" w:cs="Times New Roman"/>
              </w:rPr>
              <w:t>Доля населения, пользующегося услугами библиотек, %</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70,7</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77,1</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85,4</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75,5</w:t>
            </w:r>
          </w:p>
        </w:tc>
      </w:tr>
      <w:tr>
        <w:trPr/>
        <w:tc>
          <w:tcPr>
            <w:tcW w:w="5385" w:type="dxa"/>
            <w:tcBorders/>
            <w:shd w:fill="auto" w:val="clear"/>
          </w:tcPr>
          <w:p>
            <w:pPr>
              <w:pStyle w:val="Normal"/>
              <w:spacing w:lineRule="auto" w:line="240" w:before="0" w:after="0"/>
              <w:contextualSpacing/>
              <w:rPr>
                <w:rFonts w:eastAsia="Calibri" w:cs="Times New Roman"/>
              </w:rPr>
            </w:pPr>
            <w:r>
              <w:rPr>
                <w:rFonts w:eastAsia="Calibri" w:cs="Times New Roman"/>
              </w:rPr>
              <w:t>Число посещений общедоступных библиотек, ед., на 1 жителя</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6,8</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7,6</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7,6</w:t>
            </w:r>
          </w:p>
        </w:tc>
      </w:tr>
      <w:tr>
        <w:trPr/>
        <w:tc>
          <w:tcPr>
            <w:tcW w:w="5385" w:type="dxa"/>
            <w:tcBorders/>
            <w:shd w:fill="auto" w:val="clear"/>
          </w:tcPr>
          <w:p>
            <w:pPr>
              <w:pStyle w:val="Normal"/>
              <w:spacing w:lineRule="auto" w:line="240" w:before="0" w:after="0"/>
              <w:contextualSpacing/>
              <w:rPr>
                <w:rFonts w:eastAsia="Calibri" w:cs="Times New Roman"/>
                <w:spacing w:val="-4"/>
              </w:rPr>
            </w:pPr>
            <w:r>
              <w:rPr>
                <w:rFonts w:eastAsia="Calibri" w:cs="Times New Roman"/>
                <w:spacing w:val="-4"/>
              </w:rPr>
              <w:t>Доля населения, пользующихся услугами музеев, %</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13,0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13,2</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13,2</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13,2</w:t>
            </w:r>
          </w:p>
        </w:tc>
      </w:tr>
      <w:tr>
        <w:trPr/>
        <w:tc>
          <w:tcPr>
            <w:tcW w:w="5385" w:type="dxa"/>
            <w:tcBorders/>
            <w:shd w:fill="auto" w:val="clear"/>
          </w:tcPr>
          <w:p>
            <w:pPr>
              <w:pStyle w:val="Normal"/>
              <w:spacing w:lineRule="auto" w:line="240" w:before="0" w:after="0"/>
              <w:contextualSpacing/>
              <w:rPr>
                <w:rFonts w:eastAsia="Calibri" w:cs="Times New Roman"/>
              </w:rPr>
            </w:pPr>
            <w:r>
              <w:rPr>
                <w:rFonts w:eastAsia="Calibri" w:cs="Times New Roman"/>
              </w:rPr>
              <w:t>Число посещений музеев, ед. на 1 жителя</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0,1</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0,2</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0,2</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0,3</w:t>
            </w:r>
          </w:p>
        </w:tc>
      </w:tr>
      <w:tr>
        <w:trPr/>
        <w:tc>
          <w:tcPr>
            <w:tcW w:w="5385" w:type="dxa"/>
            <w:tcBorders/>
            <w:shd w:fill="auto" w:val="clear"/>
          </w:tcPr>
          <w:p>
            <w:pPr>
              <w:pStyle w:val="Normal"/>
              <w:spacing w:lineRule="auto" w:line="240" w:before="0" w:after="0"/>
              <w:contextualSpacing/>
              <w:rPr>
                <w:rFonts w:eastAsia="Calibri" w:cs="Times New Roman"/>
              </w:rPr>
            </w:pPr>
            <w:r>
              <w:rPr>
                <w:rFonts w:eastAsia="Calibri" w:cs="Times New Roman"/>
              </w:rPr>
              <w:t>Доля населения, участвующего в культурно-досуговых мероприятиях, %</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45,0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45,0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45,0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47,0</w:t>
            </w:r>
          </w:p>
        </w:tc>
      </w:tr>
      <w:tr>
        <w:trPr/>
        <w:tc>
          <w:tcPr>
            <w:tcW w:w="5385" w:type="dxa"/>
            <w:tcBorders/>
            <w:shd w:fill="auto" w:val="clear"/>
          </w:tcPr>
          <w:p>
            <w:pPr>
              <w:pStyle w:val="Normal"/>
              <w:spacing w:lineRule="auto" w:line="240" w:before="0" w:after="0"/>
              <w:contextualSpacing/>
              <w:rPr>
                <w:rFonts w:eastAsia="Calibri" w:cs="Times New Roman"/>
              </w:rPr>
            </w:pPr>
            <w:r>
              <w:rPr>
                <w:rFonts w:eastAsia="Calibri" w:cs="Times New Roman"/>
              </w:rPr>
              <w:t>Число посещений культурно-досуговых мероприятий, ед. на 1 жителя</w:t>
            </w:r>
          </w:p>
        </w:tc>
        <w:tc>
          <w:tcPr>
            <w:tcW w:w="1417" w:type="dxa"/>
            <w:tcBorders/>
            <w:shd w:fill="auto" w:val="clear"/>
            <w:vAlign w:val="center"/>
          </w:tcPr>
          <w:p>
            <w:pPr>
              <w:pStyle w:val="Normal"/>
              <w:spacing w:lineRule="auto" w:line="240" w:before="0" w:after="0"/>
              <w:jc w:val="center"/>
              <w:rPr>
                <w:rFonts w:eastAsia="Calibri" w:cs="Times New Roman"/>
              </w:rPr>
            </w:pPr>
            <w:r>
              <w:rPr>
                <w:rFonts w:eastAsia="Calibri" w:cs="Times New Roman"/>
              </w:rPr>
              <w:t>5,5</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6,3</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6,3</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6,3</w:t>
            </w:r>
          </w:p>
        </w:tc>
      </w:tr>
      <w:tr>
        <w:trPr/>
        <w:tc>
          <w:tcPr>
            <w:tcW w:w="5385" w:type="dxa"/>
            <w:tcBorders/>
            <w:shd w:fill="auto" w:val="clear"/>
          </w:tcPr>
          <w:p>
            <w:pPr>
              <w:pStyle w:val="ListParagraph"/>
              <w:spacing w:lineRule="auto" w:line="240" w:before="0" w:after="0"/>
              <w:ind w:left="0" w:hanging="11"/>
              <w:contextualSpacing/>
              <w:rPr>
                <w:rFonts w:cs="Times New Roman"/>
              </w:rPr>
            </w:pPr>
            <w:r>
              <w:rPr>
                <w:rFonts w:cs="Times New Roman"/>
              </w:rPr>
              <w:t>Кадровая обеспеченность отрасли культуры специалистами с профильным образованием, %</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30,0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40,0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50,0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70,0</w:t>
            </w:r>
          </w:p>
        </w:tc>
      </w:tr>
      <w:tr>
        <w:trPr/>
        <w:tc>
          <w:tcPr>
            <w:tcW w:w="5385" w:type="dxa"/>
            <w:tcBorders/>
            <w:shd w:fill="auto" w:val="clear"/>
          </w:tcPr>
          <w:p>
            <w:pPr>
              <w:pStyle w:val="Normal"/>
              <w:spacing w:lineRule="auto" w:line="240" w:before="0" w:after="0"/>
              <w:rPr>
                <w:rFonts w:cs="Times New Roman"/>
              </w:rPr>
            </w:pPr>
            <w:r>
              <w:rPr>
                <w:rFonts w:cs="Times New Roman"/>
              </w:rPr>
              <w:t>Участие в грантовых конкурсах по привлечению дополнительных финансовых средств в развитие отрасли культуры, ед.</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не менее 3 в год</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не менее 3 в год</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не менее 3 в год</w:t>
            </w:r>
          </w:p>
        </w:tc>
      </w:tr>
      <w:tr>
        <w:trPr/>
        <w:tc>
          <w:tcPr>
            <w:tcW w:w="5385" w:type="dxa"/>
            <w:tcBorders/>
            <w:shd w:fill="auto" w:val="clear"/>
          </w:tcPr>
          <w:p>
            <w:pPr>
              <w:pStyle w:val="Normal"/>
              <w:spacing w:lineRule="auto" w:line="240" w:before="0" w:after="0"/>
              <w:rPr>
                <w:rFonts w:cs="Times New Roman"/>
                <w:spacing w:val="-2"/>
              </w:rPr>
            </w:pPr>
            <w:r>
              <w:rPr>
                <w:rFonts w:cs="Times New Roman"/>
                <w:spacing w:val="-2"/>
              </w:rPr>
              <w:t>Восстановлено объектов культурного наследия, ед.</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w:t>
            </w:r>
          </w:p>
        </w:tc>
      </w:tr>
    </w:tbl>
    <w:p>
      <w:pPr>
        <w:pStyle w:val="Normal"/>
        <w:spacing w:before="0" w:after="0"/>
        <w:ind w:firstLine="709"/>
        <w:contextualSpacing/>
        <w:jc w:val="both"/>
        <w:rPr>
          <w:rFonts w:eastAsia="Calibri" w:cs="Times New Roman"/>
          <w:sz w:val="28"/>
          <w:szCs w:val="28"/>
          <w:u w:val="single"/>
        </w:rPr>
      </w:pPr>
      <w:r>
        <w:rPr>
          <w:rFonts w:eastAsia="Calibri" w:cs="Times New Roman"/>
          <w:sz w:val="28"/>
          <w:szCs w:val="28"/>
          <w:u w:val="single"/>
        </w:rPr>
      </w:r>
    </w:p>
    <w:p>
      <w:pPr>
        <w:pStyle w:val="Normal"/>
        <w:spacing w:before="0" w:after="0"/>
        <w:ind w:firstLine="709"/>
        <w:contextualSpacing/>
        <w:jc w:val="both"/>
        <w:rPr>
          <w:sz w:val="28"/>
          <w:szCs w:val="28"/>
        </w:rPr>
      </w:pPr>
      <w:r>
        <w:rPr>
          <w:rFonts w:eastAsia="Calibri" w:cs="Times New Roman"/>
          <w:sz w:val="28"/>
          <w:szCs w:val="28"/>
        </w:rPr>
        <w:t>Целевые показатели соответствуют</w:t>
      </w:r>
      <w:r>
        <w:rPr>
          <w:rFonts w:eastAsia="Calibri" w:cs="Times New Roman"/>
          <w:b/>
          <w:sz w:val="28"/>
          <w:szCs w:val="28"/>
        </w:rPr>
        <w:t xml:space="preserve"> </w:t>
      </w:r>
      <w:r>
        <w:rPr>
          <w:rFonts w:eastAsia="Calibri" w:cs="Times New Roman"/>
          <w:sz w:val="28"/>
          <w:szCs w:val="28"/>
        </w:rPr>
        <w:t>целям</w:t>
      </w:r>
      <w:r>
        <w:rPr>
          <w:rFonts w:eastAsia="Calibri" w:cs="Times New Roman"/>
          <w:b/>
          <w:sz w:val="28"/>
          <w:szCs w:val="28"/>
        </w:rPr>
        <w:t xml:space="preserve"> </w:t>
      </w:r>
      <w:r>
        <w:rPr>
          <w:sz w:val="28"/>
          <w:szCs w:val="28"/>
        </w:rPr>
        <w:t xml:space="preserve">региональной составляющей национального проекта «Культура» на территории Тереньгульского района в 2019-2024 году, а именно: </w:t>
      </w:r>
    </w:p>
    <w:p>
      <w:pPr>
        <w:pStyle w:val="Normal"/>
        <w:spacing w:before="0" w:after="0"/>
        <w:ind w:firstLine="709"/>
        <w:contextualSpacing/>
        <w:jc w:val="both"/>
        <w:rPr>
          <w:sz w:val="28"/>
          <w:szCs w:val="28"/>
        </w:rPr>
      </w:pPr>
      <w:r>
        <w:rPr>
          <w:sz w:val="28"/>
          <w:szCs w:val="28"/>
        </w:rPr>
        <w:t>- увеличение к 2024 году на 15% числа посещений организаций культуры;</w:t>
      </w:r>
    </w:p>
    <w:p>
      <w:pPr>
        <w:pStyle w:val="Normal"/>
        <w:spacing w:before="0" w:after="0"/>
        <w:ind w:firstLine="709"/>
        <w:contextualSpacing/>
        <w:jc w:val="both"/>
        <w:rPr>
          <w:sz w:val="28"/>
          <w:szCs w:val="28"/>
        </w:rPr>
      </w:pPr>
      <w:r>
        <w:rPr>
          <w:sz w:val="28"/>
          <w:szCs w:val="28"/>
        </w:rPr>
        <w:t>- увеличение к 2024 году числа обращений к цифровым ресурсам культуры в 5 раз.</w:t>
      </w:r>
    </w:p>
    <w:p>
      <w:pPr>
        <w:pStyle w:val="Normal"/>
        <w:spacing w:before="0" w:after="0"/>
        <w:ind w:firstLine="709"/>
        <w:contextualSpacing/>
        <w:jc w:val="both"/>
        <w:rPr>
          <w:sz w:val="28"/>
          <w:szCs w:val="28"/>
        </w:rPr>
      </w:pPr>
      <w:r>
        <w:rPr>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1. Совершенствование материально-технической базы, приведение зданий учреждений культуры в нормативное состояние, улучшение условий предоставления услуг в сфере культуры: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реконструкция здания КДЦ в с. Тумкино;</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капитальный ремонт зданий КДЦ в р.п. Тереньга, с. Подкуровка</w:t>
      </w:r>
      <w:r>
        <w:rPr>
          <w:rFonts w:eastAsia="Calibri" w:cs="Times New Roman"/>
          <w:b/>
          <w:sz w:val="28"/>
          <w:szCs w:val="28"/>
        </w:rPr>
        <w:t xml:space="preserve">, </w:t>
      </w:r>
      <w:r>
        <w:rPr>
          <w:rFonts w:eastAsia="Calibri" w:cs="Times New Roman"/>
          <w:sz w:val="28"/>
          <w:szCs w:val="28"/>
        </w:rPr>
        <w:t>Солдатскоташлинского СДК, СДК в с. Большая Борла и с. Ясашная Ташла в рамках реализации национального проекта «Культура»;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строительство (выделение) здания для размещения Тереньгульского районного краеведческого музея в р.п. Тереньга;</w:t>
      </w:r>
    </w:p>
    <w:p>
      <w:pPr>
        <w:pStyle w:val="Normal"/>
        <w:ind w:firstLine="709"/>
        <w:jc w:val="both"/>
        <w:rPr>
          <w:rFonts w:eastAsia="Calibri" w:cs="Times New Roman"/>
          <w:sz w:val="28"/>
          <w:szCs w:val="28"/>
        </w:rPr>
      </w:pPr>
      <w:r>
        <w:rPr>
          <w:rFonts w:eastAsia="Calibri" w:cs="Times New Roman"/>
          <w:sz w:val="28"/>
          <w:szCs w:val="28"/>
        </w:rPr>
        <w:t>- текущий ремонт зданий Ясашноташлинского СДК, Байдулинского СДК, Гавриловского СДК, Михайловского СДК, Солдатскоташлинского СДК, СДК в с. Большая Борла, в с. Елшанка;</w:t>
      </w:r>
    </w:p>
    <w:p>
      <w:pPr>
        <w:pStyle w:val="Normal"/>
        <w:ind w:firstLine="709"/>
        <w:jc w:val="both"/>
        <w:rPr>
          <w:rFonts w:eastAsia="Calibri" w:cs="Times New Roman"/>
          <w:sz w:val="28"/>
          <w:szCs w:val="28"/>
        </w:rPr>
      </w:pPr>
      <w:r>
        <w:rPr>
          <w:rFonts w:eastAsia="Calibri" w:cs="Times New Roman"/>
          <w:sz w:val="28"/>
          <w:szCs w:val="28"/>
        </w:rPr>
        <w:t>- благоустройство территории Сосновского СДК;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приобретение инструментов, светового оборудования, костюмов для творческих коллективов;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реставрация и благоустройство памятников архитектуры, истории, культуры;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создание модельной библиотеки на базе  центральной библиотеки в р.п. Тереньга;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2. Сокращение дефицита кадров в сфере культуры: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прогноз потребности в кадрах до 2030 года;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проведение профориентационной работы со студентами профессиональных образовательных организаций и образовательных организаций высшего образования с целью привлечения в отрасль молодых кадров;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формирование целевого набора в образовательные организации высшего образования, организация сопровождения студентов профильных вузов и ссузов, организация мест прохождения практики в учреждениях культуры;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содействие дальнейшему трудоустройству молодых специалистов, привлечение молодых специалистов из числа студентов профильных вузов Ульяновской области и соседних регионов;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повышение квалификации и профессиональной переподготовки кадров;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пересмотр мер социальной поддержки молодых специалистов в отрасли культуры, повышение уровня оплаты труда работников культуры.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3. Увеличение охвата (доли) обучающихся в детской школе искусств: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повышение компетентности, клиентоориентированности, доброжелательности работников учреждения;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улучшение условий предоставления образовательных услуг, развитие новых форм работы, в том числе с лицами с ОВЗ;</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повышение информационной открытости.</w:t>
      </w:r>
    </w:p>
    <w:p>
      <w:pPr>
        <w:pStyle w:val="Normal"/>
        <w:spacing w:before="0" w:after="0"/>
        <w:ind w:firstLine="709"/>
        <w:contextualSpacing/>
        <w:jc w:val="both"/>
        <w:rPr>
          <w:rFonts w:cs="Times New Roman"/>
          <w:sz w:val="28"/>
          <w:szCs w:val="28"/>
        </w:rPr>
      </w:pPr>
      <w:r>
        <w:rPr>
          <w:rFonts w:eastAsia="Calibri" w:cs="Times New Roman"/>
          <w:sz w:val="28"/>
          <w:szCs w:val="28"/>
        </w:rPr>
        <w:t xml:space="preserve">4. </w:t>
      </w:r>
      <w:r>
        <w:rPr>
          <w:rFonts w:cs="Times New Roman"/>
          <w:sz w:val="28"/>
          <w:szCs w:val="28"/>
        </w:rPr>
        <w:t>Создание музейного комплекса вокруг ключевого объекта – усадьбы Перси-Френч:</w:t>
      </w:r>
    </w:p>
    <w:p>
      <w:pPr>
        <w:pStyle w:val="Normal"/>
        <w:spacing w:before="0" w:after="0"/>
        <w:ind w:firstLine="709"/>
        <w:contextualSpacing/>
        <w:jc w:val="both"/>
        <w:rPr>
          <w:rFonts w:cs="Times New Roman"/>
          <w:sz w:val="28"/>
          <w:szCs w:val="28"/>
        </w:rPr>
      </w:pPr>
      <w:r>
        <w:rPr>
          <w:rFonts w:cs="Times New Roman"/>
          <w:sz w:val="28"/>
          <w:szCs w:val="28"/>
        </w:rPr>
        <w:t>- установка видеонаблюдения, закрытие доступа вандалов через окна (доски или решетки), удаление с крыши здания растущих там деревьев, закрытие доступа в подвал здания через крыльцо и аварийную пристройку, закрытие доступа через окна первого этажа по крыше аварийной пристройки, восстановление водосточных труб;</w:t>
      </w:r>
    </w:p>
    <w:p>
      <w:pPr>
        <w:pStyle w:val="Normal"/>
        <w:spacing w:before="0" w:after="0"/>
        <w:ind w:firstLine="709"/>
        <w:contextualSpacing/>
        <w:jc w:val="both"/>
        <w:rPr>
          <w:rFonts w:cs="Times New Roman"/>
          <w:sz w:val="28"/>
          <w:szCs w:val="28"/>
        </w:rPr>
      </w:pPr>
      <w:r>
        <w:rPr>
          <w:rFonts w:cs="Times New Roman"/>
          <w:sz w:val="28"/>
          <w:szCs w:val="28"/>
        </w:rPr>
        <w:t>- мониторинг состояния объекта;</w:t>
      </w:r>
    </w:p>
    <w:p>
      <w:pPr>
        <w:pStyle w:val="Normal"/>
        <w:spacing w:before="0" w:after="0"/>
        <w:ind w:firstLine="709"/>
        <w:contextualSpacing/>
        <w:jc w:val="both"/>
        <w:rPr>
          <w:rFonts w:cs="Times New Roman"/>
          <w:sz w:val="28"/>
          <w:szCs w:val="28"/>
        </w:rPr>
      </w:pPr>
      <w:r>
        <w:rPr>
          <w:rFonts w:cs="Times New Roman"/>
          <w:sz w:val="28"/>
          <w:szCs w:val="28"/>
        </w:rPr>
        <w:t xml:space="preserve">- участие в региональных проектах, посвящённых сохранению и развитию региональной идентичности населения Ульяновской области, в областных и российских конкурсах грантов на восстановление объекта; </w:t>
      </w:r>
    </w:p>
    <w:p>
      <w:pPr>
        <w:pStyle w:val="Normal"/>
        <w:spacing w:before="0" w:after="0"/>
        <w:ind w:firstLine="709"/>
        <w:contextualSpacing/>
        <w:jc w:val="both"/>
        <w:rPr>
          <w:rFonts w:cs="Times New Roman"/>
          <w:sz w:val="28"/>
          <w:szCs w:val="28"/>
        </w:rPr>
      </w:pPr>
      <w:r>
        <w:rPr>
          <w:rFonts w:cs="Times New Roman"/>
          <w:sz w:val="28"/>
          <w:szCs w:val="28"/>
        </w:rPr>
        <w:t>- привлечение волонтёров к организации восстановительных работ.</w:t>
      </w:r>
    </w:p>
    <w:p>
      <w:pPr>
        <w:pStyle w:val="Normal"/>
        <w:spacing w:before="0" w:after="0"/>
        <w:ind w:firstLine="709"/>
        <w:contextualSpacing/>
        <w:jc w:val="both"/>
        <w:rPr>
          <w:rFonts w:cs="Times New Roman"/>
          <w:sz w:val="28"/>
          <w:szCs w:val="28"/>
        </w:rPr>
      </w:pPr>
      <w:r>
        <w:rPr>
          <w:rFonts w:cs="Times New Roman"/>
          <w:sz w:val="28"/>
          <w:szCs w:val="28"/>
        </w:rPr>
        <w:t xml:space="preserve">5. Реорганизация экспозиции краеведческого музея: </w:t>
      </w:r>
    </w:p>
    <w:p>
      <w:pPr>
        <w:pStyle w:val="Normal"/>
        <w:spacing w:before="0" w:after="0"/>
        <w:ind w:firstLine="709"/>
        <w:contextualSpacing/>
        <w:jc w:val="both"/>
        <w:rPr>
          <w:rFonts w:cs="Times New Roman"/>
          <w:sz w:val="28"/>
          <w:szCs w:val="28"/>
        </w:rPr>
      </w:pPr>
      <w:r>
        <w:rPr>
          <w:rFonts w:cs="Times New Roman"/>
          <w:sz w:val="28"/>
          <w:szCs w:val="28"/>
        </w:rPr>
        <w:t>- закупка дополнительного выставочного оборудования;</w:t>
      </w:r>
    </w:p>
    <w:p>
      <w:pPr>
        <w:pStyle w:val="Normal"/>
        <w:spacing w:before="0" w:after="0"/>
        <w:ind w:firstLine="709"/>
        <w:contextualSpacing/>
        <w:jc w:val="both"/>
        <w:rPr>
          <w:rFonts w:cs="Times New Roman"/>
          <w:sz w:val="28"/>
          <w:szCs w:val="28"/>
        </w:rPr>
      </w:pPr>
      <w:r>
        <w:rPr>
          <w:rFonts w:cs="Times New Roman"/>
          <w:sz w:val="28"/>
          <w:szCs w:val="28"/>
        </w:rPr>
        <w:t xml:space="preserve">- создание экспозиции, посвящённой археологии района;  </w:t>
      </w:r>
    </w:p>
    <w:p>
      <w:pPr>
        <w:pStyle w:val="Normal"/>
        <w:spacing w:before="0" w:after="0"/>
        <w:ind w:firstLine="709"/>
        <w:contextualSpacing/>
        <w:jc w:val="both"/>
        <w:rPr>
          <w:rFonts w:cs="Times New Roman"/>
          <w:sz w:val="28"/>
          <w:szCs w:val="28"/>
        </w:rPr>
      </w:pPr>
      <w:r>
        <w:rPr>
          <w:rFonts w:cs="Times New Roman"/>
          <w:sz w:val="28"/>
          <w:szCs w:val="28"/>
        </w:rPr>
        <w:t>- доработка экспозиции по природным условиям;</w:t>
      </w:r>
    </w:p>
    <w:p>
      <w:pPr>
        <w:pStyle w:val="Normal"/>
        <w:spacing w:before="0" w:after="0"/>
        <w:ind w:firstLine="709"/>
        <w:contextualSpacing/>
        <w:jc w:val="both"/>
        <w:rPr>
          <w:rFonts w:cs="Times New Roman"/>
          <w:sz w:val="28"/>
          <w:szCs w:val="28"/>
        </w:rPr>
      </w:pPr>
      <w:r>
        <w:rPr>
          <w:rFonts w:cs="Times New Roman"/>
          <w:sz w:val="28"/>
          <w:szCs w:val="28"/>
        </w:rPr>
        <w:t>- создание двух подворий (зажиточного крестьянина и бедняка), включение их в концепцию «Красного Маршрута»;</w:t>
      </w:r>
    </w:p>
    <w:p>
      <w:pPr>
        <w:pStyle w:val="Normal"/>
        <w:spacing w:before="0" w:after="0"/>
        <w:ind w:firstLine="709"/>
        <w:contextualSpacing/>
        <w:jc w:val="both"/>
        <w:rPr>
          <w:rFonts w:cs="Times New Roman"/>
          <w:sz w:val="28"/>
          <w:szCs w:val="28"/>
        </w:rPr>
      </w:pPr>
      <w:r>
        <w:rPr>
          <w:rFonts w:cs="Times New Roman"/>
          <w:sz w:val="28"/>
          <w:szCs w:val="28"/>
        </w:rPr>
        <w:t xml:space="preserve">- дополнение экспозиции, посвящённой знаменитым землякам, материалами о выдающихся организаторах колхозного хозяйства, земляках, добившихся успехов за пределами района (династия Морозовых в Японии, например), дворянских родах района; </w:t>
      </w:r>
    </w:p>
    <w:p>
      <w:pPr>
        <w:pStyle w:val="Normal"/>
        <w:spacing w:before="0" w:after="0"/>
        <w:ind w:firstLine="709"/>
        <w:contextualSpacing/>
        <w:jc w:val="both"/>
        <w:rPr>
          <w:rFonts w:cs="Times New Roman"/>
          <w:sz w:val="28"/>
          <w:szCs w:val="28"/>
        </w:rPr>
      </w:pPr>
      <w:r>
        <w:rPr>
          <w:rFonts w:cs="Times New Roman"/>
          <w:sz w:val="28"/>
          <w:szCs w:val="28"/>
        </w:rPr>
        <w:t>- создание экспозиции, посвящённой промышленности на территории Тереньгульского района (мануфактуры и предприятия ХХ века).</w:t>
      </w:r>
    </w:p>
    <w:p>
      <w:pPr>
        <w:pStyle w:val="Normal"/>
        <w:spacing w:before="0" w:after="0"/>
        <w:ind w:firstLine="709"/>
        <w:contextualSpacing/>
        <w:jc w:val="both"/>
        <w:rPr>
          <w:rFonts w:cs="Times New Roman"/>
          <w:sz w:val="28"/>
          <w:szCs w:val="28"/>
        </w:rPr>
      </w:pPr>
      <w:r>
        <w:rPr>
          <w:rFonts w:cs="Times New Roman"/>
          <w:sz w:val="28"/>
          <w:szCs w:val="28"/>
        </w:rPr>
        <w:t>6. Развитие фестивального направления.</w:t>
      </w:r>
    </w:p>
    <w:p>
      <w:pPr>
        <w:pStyle w:val="Normal"/>
        <w:spacing w:before="0" w:after="0"/>
        <w:ind w:firstLine="709"/>
        <w:contextualSpacing/>
        <w:jc w:val="both"/>
        <w:rPr>
          <w:rFonts w:cs="Times New Roman"/>
          <w:sz w:val="28"/>
          <w:szCs w:val="28"/>
        </w:rPr>
      </w:pPr>
      <w:r>
        <w:rPr>
          <w:rFonts w:cs="Times New Roman"/>
          <w:sz w:val="28"/>
          <w:szCs w:val="28"/>
        </w:rPr>
        <w:t xml:space="preserve">7. Создание официальных аккаунтов крупных учреждений культуры  </w:t>
        <w:br/>
        <w:t>в социальных сетях, размещение ссылок на них в разделе «Культура и искусство» на официальном сайте муниципального образования.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Решение указанных задач нацелено на достижение целей национального проекта «Культура» в части обеспечения учреждений культуры необходимыми инструментами, оборудованием, материалами, реконструкции культурно-досуговых организаций клубного типа в сельских поселениях, создания музейных комплексов и развития муниципальных библиотек.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32"/>
        <w:rPr>
          <w:rFonts w:eastAsia="Calibri"/>
          <w:i w:val="false"/>
          <w:i w:val="false"/>
        </w:rPr>
      </w:pPr>
      <w:bookmarkStart w:id="45" w:name="_Toc4405010"/>
      <w:r>
        <w:rPr>
          <w:rFonts w:eastAsia="Calibri"/>
          <w:i w:val="false"/>
        </w:rPr>
        <w:t>2.1.2.3. Туризм</w:t>
      </w:r>
      <w:bookmarkEnd w:id="45"/>
    </w:p>
    <w:p>
      <w:pPr>
        <w:pStyle w:val="Normal"/>
        <w:ind w:firstLine="709"/>
        <w:jc w:val="both"/>
        <w:rPr>
          <w:sz w:val="28"/>
          <w:szCs w:val="28"/>
          <w:lang w:eastAsia="ru-RU"/>
        </w:rPr>
      </w:pPr>
      <w:r>
        <w:rPr>
          <w:sz w:val="28"/>
          <w:szCs w:val="28"/>
          <w:lang w:eastAsia="ru-RU"/>
        </w:rPr>
        <w:t xml:space="preserve">В настоящее время на территории Тереньгульского района расположено несколько туристских достопримечательностей, являющихся центрами притяжения туристов: дворянская усадьба Е.М. Перси-Френч, источник «Бездонный колодец», природный заповедник «Скрипинские Кучуры». </w:t>
      </w:r>
    </w:p>
    <w:p>
      <w:pPr>
        <w:pStyle w:val="Normal"/>
        <w:ind w:firstLine="709"/>
        <w:jc w:val="both"/>
        <w:rPr>
          <w:sz w:val="28"/>
          <w:szCs w:val="28"/>
          <w:lang w:eastAsia="ru-RU"/>
        </w:rPr>
      </w:pPr>
      <w:r>
        <w:rPr>
          <w:sz w:val="28"/>
          <w:szCs w:val="28"/>
          <w:lang w:eastAsia="ru-RU"/>
        </w:rPr>
        <w:t xml:space="preserve">Все объекты туристского показа в настоящее время объединены </w:t>
        <w:br/>
        <w:t xml:space="preserve">в однодневный сезонный туристический маршрут «Под сенью веков», объекты расположены на трассе Ульяновск-Сызрань, удовлетворительная транспортная доступность позволяет посетить все три объекта за один световой день, а пути следования есть достаточное количество пунктов питания. </w:t>
      </w:r>
    </w:p>
    <w:p>
      <w:pPr>
        <w:pStyle w:val="Normal"/>
        <w:ind w:firstLine="709"/>
        <w:jc w:val="both"/>
        <w:rPr>
          <w:sz w:val="28"/>
          <w:szCs w:val="28"/>
          <w:lang w:eastAsia="ru-RU"/>
        </w:rPr>
      </w:pPr>
      <w:r>
        <w:rPr>
          <w:sz w:val="28"/>
          <w:szCs w:val="28"/>
          <w:lang w:eastAsia="ru-RU"/>
        </w:rPr>
        <w:t>В сфере событийного туризма, фактором, стимулирующим развитие туристической отрасли, является проведение ежегодного межрегионального фестиваля гармонистов, баянистов, аккордеонистов им. А.Ф.Данилова «Тереньгульские переливы».</w:t>
      </w:r>
    </w:p>
    <w:p>
      <w:pPr>
        <w:pStyle w:val="Normal"/>
        <w:ind w:firstLine="709"/>
        <w:jc w:val="both"/>
        <w:rPr>
          <w:sz w:val="28"/>
          <w:szCs w:val="28"/>
          <w:lang w:eastAsia="ru-RU"/>
        </w:rPr>
      </w:pPr>
      <w:r>
        <w:rPr>
          <w:sz w:val="28"/>
          <w:szCs w:val="28"/>
          <w:lang w:eastAsia="ru-RU"/>
        </w:rPr>
        <w:t>Основными проблемами, препятствующими развитию организованного туризма на территории Тереньгульского района, являются: удаленность объектов туристского показа как от города Ульяновска, так и от р.п. Тереньга (кроме дворянской усадьбы Е.М.Перси-Френч), отсутствие инвестиций в существующие объекты туристского показа, слабо развитая туристическая инфраструктура – отсутствие придорожного сервиса южнее р.п. Тереньга, недостаточное количество подготовленных кадров экскурсоводов, отсутствие индустрии изготовления и реализации сувенирной продукции, слабое информационное освещение туристического потенциала территории.</w:t>
      </w:r>
    </w:p>
    <w:p>
      <w:pPr>
        <w:pStyle w:val="Normal"/>
        <w:ind w:firstLine="709"/>
        <w:jc w:val="both"/>
        <w:rPr>
          <w:bCs/>
          <w:sz w:val="28"/>
          <w:szCs w:val="28"/>
        </w:rPr>
      </w:pPr>
      <w:r>
        <w:rPr>
          <w:sz w:val="28"/>
          <w:szCs w:val="28"/>
          <w:lang w:eastAsia="ru-RU"/>
        </w:rPr>
        <w:t xml:space="preserve">В настоящее время, для решения проблемы отсутствия придорожной инфраструктуры ОГКУ «Агентство по туризму Ульяновской области» ведется поиск подходящей площадки для объекта придорожного сервиса, а также работа по привлечению инвестора для работы на данной площадке. Также </w:t>
        <w:br/>
        <w:t xml:space="preserve">в качестве одного из ключевых мероприятий по стимулированию развития туристической отрасли на территории муниципального района запланировано </w:t>
      </w:r>
      <w:r>
        <w:rPr>
          <w:bCs/>
          <w:sz w:val="28"/>
          <w:szCs w:val="28"/>
        </w:rPr>
        <w:t>предоставление на конкурсной основе субсидий из областного бюджета Ульяновской области отдельным хозяйствующим субъектам.</w:t>
      </w:r>
    </w:p>
    <w:p>
      <w:pPr>
        <w:pStyle w:val="Normal"/>
        <w:spacing w:lineRule="auto" w:line="276"/>
        <w:ind w:firstLine="709"/>
        <w:jc w:val="both"/>
        <w:rPr>
          <w:bCs/>
          <w:sz w:val="22"/>
          <w:szCs w:val="28"/>
        </w:rPr>
      </w:pPr>
      <w:r>
        <w:rPr>
          <w:bCs/>
          <w:sz w:val="22"/>
          <w:szCs w:val="28"/>
        </w:rPr>
      </w:r>
    </w:p>
    <w:p>
      <w:pPr>
        <w:pStyle w:val="Normal"/>
        <w:jc w:val="center"/>
        <w:rPr>
          <w:rFonts w:cs="Times New Roman"/>
          <w:b/>
          <w:b/>
          <w:sz w:val="28"/>
        </w:rPr>
      </w:pPr>
      <w:r>
        <w:rPr>
          <w:rFonts w:cs="Times New Roman"/>
          <w:b/>
          <w:sz w:val="28"/>
        </w:rPr>
        <w:t>Туристические маршруты, действующие и планируемые на территории Тереньгульского района</w:t>
      </w:r>
    </w:p>
    <w:tbl>
      <w:tblPr>
        <w:tblW w:w="5000" w:type="pct"/>
        <w:jc w:val="left"/>
        <w:tblInd w:w="0" w:type="dxa"/>
        <w:tblCellMar>
          <w:top w:w="0" w:type="dxa"/>
          <w:left w:w="108" w:type="dxa"/>
          <w:bottom w:w="0" w:type="dxa"/>
          <w:right w:w="108" w:type="dxa"/>
        </w:tblCellMar>
        <w:tblLook w:noVBand="1" w:val="04a0" w:noHBand="0" w:lastColumn="0" w:firstColumn="1" w:lastRow="0" w:firstRow="1"/>
      </w:tblPr>
      <w:tblGrid>
        <w:gridCol w:w="620"/>
        <w:gridCol w:w="2689"/>
        <w:gridCol w:w="2027"/>
        <w:gridCol w:w="2255"/>
        <w:gridCol w:w="2047"/>
      </w:tblGrid>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rPr>
            </w:pPr>
            <w:r>
              <w:rPr>
                <w:rFonts w:cs="Times New Roman"/>
                <w:b/>
              </w:rPr>
              <w:t xml:space="preserve">№ </w:t>
            </w:r>
            <w:r>
              <w:rPr>
                <w:rFonts w:cs="Times New Roman"/>
                <w:b/>
              </w:rPr>
              <w:t>п/п</w:t>
            </w:r>
          </w:p>
        </w:tc>
        <w:tc>
          <w:tcPr>
            <w:tcW w:w="26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rPr>
            </w:pPr>
            <w:r>
              <w:rPr>
                <w:rFonts w:cs="Times New Roman"/>
                <w:b/>
              </w:rPr>
              <w:t>Название маршрута</w:t>
            </w:r>
          </w:p>
        </w:tc>
        <w:tc>
          <w:tcPr>
            <w:tcW w:w="20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rPr>
            </w:pPr>
            <w:r>
              <w:rPr>
                <w:rFonts w:cs="Times New Roman"/>
                <w:b/>
              </w:rPr>
              <w:t>Виды туризма</w:t>
            </w:r>
          </w:p>
        </w:tc>
        <w:tc>
          <w:tcPr>
            <w:tcW w:w="225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rPr>
            </w:pPr>
            <w:r>
              <w:rPr>
                <w:rFonts w:cs="Times New Roman"/>
                <w:b/>
              </w:rPr>
              <w:t>Населённые пункты</w:t>
            </w:r>
          </w:p>
        </w:tc>
        <w:tc>
          <w:tcPr>
            <w:tcW w:w="20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b/>
                <w:b/>
              </w:rPr>
            </w:pPr>
            <w:r>
              <w:rPr>
                <w:rFonts w:cs="Times New Roman"/>
                <w:b/>
              </w:rPr>
              <w:t>Описание</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1.</w:t>
            </w:r>
          </w:p>
        </w:tc>
        <w:tc>
          <w:tcPr>
            <w:tcW w:w="26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Туристический маршрут «Под сенью веков»</w:t>
            </w:r>
          </w:p>
        </w:tc>
        <w:tc>
          <w:tcPr>
            <w:tcW w:w="20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Познавательный, приключенческий</w:t>
            </w:r>
          </w:p>
        </w:tc>
        <w:tc>
          <w:tcPr>
            <w:tcW w:w="225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«Усадьба Е.М. Перси-Френч – источник «Бездонный колодец» – памятник природы «Скрипинские Кучуры»</w:t>
            </w:r>
          </w:p>
        </w:tc>
        <w:tc>
          <w:tcPr>
            <w:tcW w:w="20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длительность маршрута 5 часов + 2 часа (дорога)</w:t>
            </w:r>
          </w:p>
          <w:p>
            <w:pPr>
              <w:pStyle w:val="Normal"/>
              <w:spacing w:lineRule="auto" w:line="228"/>
              <w:jc w:val="center"/>
              <w:rPr>
                <w:rFonts w:cs="Times New Roman"/>
              </w:rPr>
            </w:pPr>
            <w:r>
              <w:rPr>
                <w:rFonts w:cs="Times New Roman"/>
              </w:rPr>
              <w:t>75 км. от центра г. Ульяновска, протяжённость маршрута – 45 км.</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2.</w:t>
            </w:r>
          </w:p>
        </w:tc>
        <w:tc>
          <w:tcPr>
            <w:tcW w:w="26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Туристический маршрут «Ансамбль помещичьих усадеб»</w:t>
            </w:r>
          </w:p>
        </w:tc>
        <w:tc>
          <w:tcPr>
            <w:tcW w:w="20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Познавательный, приключенческий</w:t>
            </w:r>
          </w:p>
        </w:tc>
        <w:tc>
          <w:tcPr>
            <w:tcW w:w="225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Усадьба Афанасьевых (с. Скугареевка) – Усадьба Е.М. Перси-Френч (р.п. Тереньга)</w:t>
            </w:r>
          </w:p>
        </w:tc>
        <w:tc>
          <w:tcPr>
            <w:tcW w:w="20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длительность маршрута 3 часа + 2 часа (дорога)</w:t>
            </w:r>
          </w:p>
          <w:p>
            <w:pPr>
              <w:pStyle w:val="Normal"/>
              <w:spacing w:lineRule="auto" w:line="228"/>
              <w:jc w:val="center"/>
              <w:rPr>
                <w:rFonts w:cs="Times New Roman"/>
              </w:rPr>
            </w:pPr>
            <w:r>
              <w:rPr>
                <w:rFonts w:cs="Times New Roman"/>
              </w:rPr>
              <w:t>75 км. от центра г. Ульяновска</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3.</w:t>
            </w:r>
          </w:p>
        </w:tc>
        <w:tc>
          <w:tcPr>
            <w:tcW w:w="26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Туристический маршрут «Святые родники»</w:t>
            </w:r>
          </w:p>
        </w:tc>
        <w:tc>
          <w:tcPr>
            <w:tcW w:w="20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Паломнический, познавательный</w:t>
            </w:r>
          </w:p>
        </w:tc>
        <w:tc>
          <w:tcPr>
            <w:tcW w:w="225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Источник иконы Владимирской Божьей Матери (с. Ясашная Ташла) – Святой источник «Бездонный колодец» (с. Федькино) – озеро у Бездонного колодца</w:t>
            </w:r>
          </w:p>
        </w:tc>
        <w:tc>
          <w:tcPr>
            <w:tcW w:w="20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длительность маршрута 3 часа + 2 часа (дорога)</w:t>
            </w:r>
          </w:p>
          <w:p>
            <w:pPr>
              <w:pStyle w:val="Normal"/>
              <w:spacing w:lineRule="auto" w:line="228"/>
              <w:jc w:val="center"/>
              <w:rPr>
                <w:rFonts w:cs="Times New Roman"/>
              </w:rPr>
            </w:pPr>
            <w:r>
              <w:rPr>
                <w:rFonts w:cs="Times New Roman"/>
              </w:rPr>
              <w:t>75 км от центра г. Ульяновска</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4.</w:t>
            </w:r>
          </w:p>
        </w:tc>
        <w:tc>
          <w:tcPr>
            <w:tcW w:w="26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Туристический квест «По пути казака Байдулы – соратника Стеньки Разина»</w:t>
            </w:r>
          </w:p>
        </w:tc>
        <w:tc>
          <w:tcPr>
            <w:tcW w:w="20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Познавательный, приключенческий</w:t>
            </w:r>
          </w:p>
        </w:tc>
        <w:tc>
          <w:tcPr>
            <w:tcW w:w="225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Озеро у «Бездонного колодца» (с. Федькино)</w:t>
            </w:r>
          </w:p>
        </w:tc>
        <w:tc>
          <w:tcPr>
            <w:tcW w:w="20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длительность маршрута 4 часа + 2 часа (дорога)</w:t>
            </w:r>
          </w:p>
          <w:p>
            <w:pPr>
              <w:pStyle w:val="Normal"/>
              <w:spacing w:lineRule="auto" w:line="228"/>
              <w:jc w:val="center"/>
              <w:rPr>
                <w:rFonts w:cs="Times New Roman"/>
              </w:rPr>
            </w:pPr>
            <w:r>
              <w:rPr>
                <w:rFonts w:cs="Times New Roman"/>
              </w:rPr>
              <w:t xml:space="preserve">75 км от центра г. Ульяновска </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5.</w:t>
            </w:r>
          </w:p>
        </w:tc>
        <w:tc>
          <w:tcPr>
            <w:tcW w:w="26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Туристический квест «Скрипинские Кучуры»</w:t>
            </w:r>
          </w:p>
        </w:tc>
        <w:tc>
          <w:tcPr>
            <w:tcW w:w="202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Горный,</w:t>
            </w:r>
          </w:p>
          <w:p>
            <w:pPr>
              <w:pStyle w:val="Normal"/>
              <w:spacing w:lineRule="auto" w:line="228"/>
              <w:jc w:val="center"/>
              <w:rPr>
                <w:rFonts w:cs="Times New Roman"/>
              </w:rPr>
            </w:pPr>
            <w:r>
              <w:rPr>
                <w:rFonts w:cs="Times New Roman"/>
              </w:rPr>
              <w:t>познавательный, приключенческий</w:t>
            </w:r>
          </w:p>
        </w:tc>
        <w:tc>
          <w:tcPr>
            <w:tcW w:w="225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Одно из чудес Ульяновской области – памятник природы «Скрипинские Кучуры» (с. Гавриловка)</w:t>
            </w:r>
          </w:p>
        </w:tc>
        <w:tc>
          <w:tcPr>
            <w:tcW w:w="204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28"/>
              <w:jc w:val="center"/>
              <w:rPr>
                <w:rFonts w:cs="Times New Roman"/>
              </w:rPr>
            </w:pPr>
            <w:r>
              <w:rPr>
                <w:rFonts w:cs="Times New Roman"/>
              </w:rPr>
              <w:t>длительность маршрута</w:t>
            </w:r>
          </w:p>
          <w:p>
            <w:pPr>
              <w:pStyle w:val="Normal"/>
              <w:spacing w:lineRule="auto" w:line="228"/>
              <w:jc w:val="center"/>
              <w:rPr>
                <w:rFonts w:cs="Times New Roman"/>
              </w:rPr>
            </w:pPr>
            <w:r>
              <w:rPr>
                <w:rFonts w:cs="Times New Roman"/>
              </w:rPr>
              <w:t>4 часа +3 часа (дорога)</w:t>
            </w:r>
          </w:p>
          <w:p>
            <w:pPr>
              <w:pStyle w:val="Normal"/>
              <w:spacing w:lineRule="auto" w:line="228"/>
              <w:jc w:val="center"/>
              <w:rPr>
                <w:rFonts w:cs="Times New Roman"/>
              </w:rPr>
            </w:pPr>
            <w:r>
              <w:rPr>
                <w:rFonts w:cs="Times New Roman"/>
              </w:rPr>
              <w:t>100 км. от центра г. Ульяновска</w:t>
            </w:r>
          </w:p>
        </w:tc>
      </w:tr>
    </w:tbl>
    <w:p>
      <w:pPr>
        <w:pStyle w:val="Normal"/>
        <w:ind w:firstLine="709"/>
        <w:jc w:val="both"/>
        <w:rPr>
          <w:rFonts w:eastAsia="Calibri" w:cs="Times New Roman"/>
          <w:b/>
          <w:b/>
          <w:i/>
          <w:i/>
          <w:sz w:val="28"/>
          <w:szCs w:val="28"/>
        </w:rPr>
      </w:pPr>
      <w:r>
        <w:rPr>
          <w:rFonts w:eastAsia="Calibri" w:cs="Times New Roman"/>
          <w:b/>
          <w:i/>
          <w:sz w:val="28"/>
          <w:szCs w:val="28"/>
        </w:rPr>
        <w:t>Подцели:</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увеличение туристического потока на территорию Тереньгульского района;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развитие туристической инфраструктуры на территории Тереньгульского района;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формирование туристического бренда Тереньгульского района для повышения узнаваемости территории на межрегиональном и всероссийском уровне, коммерциализации туристической отрасли. </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16"/>
        <w:tblW w:w="5000" w:type="pct"/>
        <w:jc w:val="left"/>
        <w:tblInd w:w="0" w:type="dxa"/>
        <w:tblCellMar>
          <w:top w:w="0" w:type="dxa"/>
          <w:left w:w="108" w:type="dxa"/>
          <w:bottom w:w="0" w:type="dxa"/>
          <w:right w:w="108" w:type="dxa"/>
        </w:tblCellMar>
        <w:tblLook w:noVBand="1" w:val="04a0" w:noHBand="0" w:lastColumn="0" w:firstColumn="1" w:lastRow="0" w:firstRow="1"/>
      </w:tblPr>
      <w:tblGrid>
        <w:gridCol w:w="5097"/>
        <w:gridCol w:w="1527"/>
        <w:gridCol w:w="1107"/>
        <w:gridCol w:w="971"/>
        <w:gridCol w:w="936"/>
      </w:tblGrid>
      <w:tr>
        <w:trPr/>
        <w:tc>
          <w:tcPr>
            <w:tcW w:w="5097" w:type="dxa"/>
            <w:tcBorders/>
            <w:shd w:fill="auto" w:val="clear"/>
            <w:vAlign w:val="center"/>
          </w:tcPr>
          <w:p>
            <w:pPr>
              <w:pStyle w:val="Normal"/>
              <w:widowControl/>
              <w:suppressAutoHyphens w:val="false"/>
              <w:spacing w:lineRule="auto" w:line="240" w:before="0" w:after="0"/>
              <w:ind w:firstLine="709"/>
              <w:jc w:val="center"/>
              <w:rPr>
                <w:b/>
                <w:b/>
              </w:rPr>
            </w:pPr>
            <w:r>
              <w:rPr>
                <w:rFonts w:eastAsia="Calibri" w:cs="Times New Roman" w:ascii="Calibri" w:hAnsi="Calibri"/>
                <w:b/>
                <w:color w:val="auto"/>
                <w:kern w:val="0"/>
                <w:sz w:val="20"/>
                <w:szCs w:val="20"/>
                <w:lang w:val="ru-RU" w:eastAsia="ar-SA" w:bidi="ar-SA"/>
              </w:rPr>
              <w:t>Показатель</w:t>
            </w:r>
          </w:p>
        </w:tc>
        <w:tc>
          <w:tcPr>
            <w:tcW w:w="1527" w:type="dxa"/>
            <w:tcBorders/>
            <w:shd w:fill="auto" w:val="clear"/>
            <w:vAlign w:val="center"/>
          </w:tcPr>
          <w:p>
            <w:pPr>
              <w:pStyle w:val="Normal"/>
              <w:widowControl/>
              <w:suppressAutoHyphens w:val="false"/>
              <w:spacing w:lineRule="auto" w:line="240" w:before="0" w:after="0"/>
              <w:ind w:firstLine="34"/>
              <w:jc w:val="center"/>
              <w:rPr>
                <w:b/>
                <w:b/>
              </w:rPr>
            </w:pPr>
            <w:r>
              <w:rPr>
                <w:rFonts w:eastAsia="Calibri" w:cs="Times New Roman" w:ascii="Calibri" w:hAnsi="Calibri"/>
                <w:b/>
                <w:color w:val="auto"/>
                <w:kern w:val="0"/>
                <w:sz w:val="20"/>
                <w:szCs w:val="20"/>
                <w:lang w:val="ru-RU" w:eastAsia="ar-SA" w:bidi="ar-SA"/>
              </w:rPr>
              <w:t>2017</w:t>
            </w:r>
          </w:p>
          <w:p>
            <w:pPr>
              <w:pStyle w:val="Normal"/>
              <w:widowControl/>
              <w:suppressAutoHyphens w:val="false"/>
              <w:spacing w:lineRule="auto" w:line="240" w:before="0" w:after="0"/>
              <w:ind w:firstLine="34"/>
              <w:jc w:val="center"/>
              <w:rPr>
                <w:b/>
                <w:b/>
              </w:rPr>
            </w:pPr>
            <w:r>
              <w:rPr>
                <w:rFonts w:eastAsia="Calibri" w:cs="Times New Roman" w:ascii="Calibri" w:hAnsi="Calibri"/>
                <w:b/>
                <w:color w:val="auto"/>
                <w:kern w:val="0"/>
                <w:sz w:val="20"/>
                <w:szCs w:val="20"/>
                <w:lang w:val="ru-RU" w:eastAsia="ar-SA" w:bidi="ar-SA"/>
              </w:rPr>
              <w:t>(базовый)</w:t>
            </w:r>
          </w:p>
        </w:tc>
        <w:tc>
          <w:tcPr>
            <w:tcW w:w="1107" w:type="dxa"/>
            <w:tcBorders/>
            <w:shd w:fill="auto" w:val="clear"/>
            <w:vAlign w:val="center"/>
          </w:tcPr>
          <w:p>
            <w:pPr>
              <w:pStyle w:val="Normal"/>
              <w:widowControl/>
              <w:suppressAutoHyphens w:val="false"/>
              <w:spacing w:lineRule="auto" w:line="240" w:before="0" w:after="0"/>
              <w:ind w:firstLine="34"/>
              <w:jc w:val="center"/>
              <w:rPr>
                <w:b/>
                <w:b/>
              </w:rPr>
            </w:pPr>
            <w:r>
              <w:rPr>
                <w:rFonts w:eastAsia="Calibri" w:cs="Times New Roman" w:ascii="Calibri" w:hAnsi="Calibri"/>
                <w:b/>
                <w:color w:val="auto"/>
                <w:kern w:val="0"/>
                <w:sz w:val="20"/>
                <w:szCs w:val="20"/>
                <w:lang w:val="ru-RU" w:eastAsia="ar-SA" w:bidi="ar-SA"/>
              </w:rPr>
              <w:t>2020</w:t>
            </w:r>
          </w:p>
        </w:tc>
        <w:tc>
          <w:tcPr>
            <w:tcW w:w="971" w:type="dxa"/>
            <w:tcBorders/>
            <w:shd w:fill="auto" w:val="clear"/>
            <w:vAlign w:val="center"/>
          </w:tcPr>
          <w:p>
            <w:pPr>
              <w:pStyle w:val="Normal"/>
              <w:widowControl/>
              <w:suppressAutoHyphens w:val="false"/>
              <w:spacing w:lineRule="auto" w:line="240" w:before="0" w:after="0"/>
              <w:ind w:firstLine="34"/>
              <w:jc w:val="center"/>
              <w:rPr>
                <w:b/>
                <w:b/>
              </w:rPr>
            </w:pPr>
            <w:r>
              <w:rPr>
                <w:rFonts w:eastAsia="Calibri" w:cs="Times New Roman" w:ascii="Calibri" w:hAnsi="Calibri"/>
                <w:b/>
                <w:color w:val="auto"/>
                <w:kern w:val="0"/>
                <w:sz w:val="20"/>
                <w:szCs w:val="20"/>
                <w:lang w:val="ru-RU" w:eastAsia="ar-SA" w:bidi="ar-SA"/>
              </w:rPr>
              <w:t>2024</w:t>
            </w:r>
          </w:p>
        </w:tc>
        <w:tc>
          <w:tcPr>
            <w:tcW w:w="936" w:type="dxa"/>
            <w:tcBorders/>
            <w:shd w:fill="auto" w:val="clear"/>
            <w:vAlign w:val="center"/>
          </w:tcPr>
          <w:p>
            <w:pPr>
              <w:pStyle w:val="Normal"/>
              <w:widowControl/>
              <w:suppressAutoHyphens w:val="false"/>
              <w:spacing w:lineRule="auto" w:line="240" w:before="0" w:after="0"/>
              <w:ind w:firstLine="34"/>
              <w:jc w:val="center"/>
              <w:rPr>
                <w:b/>
                <w:b/>
              </w:rPr>
            </w:pPr>
            <w:r>
              <w:rPr>
                <w:rFonts w:eastAsia="Calibri" w:cs="Times New Roman" w:ascii="Calibri" w:hAnsi="Calibri"/>
                <w:b/>
                <w:color w:val="auto"/>
                <w:kern w:val="0"/>
                <w:sz w:val="20"/>
                <w:szCs w:val="20"/>
                <w:lang w:val="ru-RU" w:eastAsia="ar-SA" w:bidi="ar-SA"/>
              </w:rPr>
              <w:t>2030</w:t>
            </w:r>
          </w:p>
        </w:tc>
      </w:tr>
      <w:tr>
        <w:trPr/>
        <w:tc>
          <w:tcPr>
            <w:tcW w:w="5097" w:type="dxa"/>
            <w:tcBorders/>
            <w:shd w:fill="auto" w:val="clear"/>
          </w:tcPr>
          <w:p>
            <w:pPr>
              <w:pStyle w:val="Normal"/>
              <w:widowControl/>
              <w:suppressAutoHyphens w:val="false"/>
              <w:spacing w:lineRule="auto" w:line="240" w:before="0" w:after="0"/>
              <w:ind w:hanging="11"/>
              <w:jc w:val="both"/>
              <w:rPr>
                <w:rFonts w:ascii="Calibri" w:hAnsi="Calibri" w:eastAsia="Calibri" w:cs="Times New Roman"/>
              </w:rPr>
            </w:pPr>
            <w:r>
              <w:rPr>
                <w:rFonts w:eastAsia="Calibri" w:cs="Times New Roman" w:ascii="Calibri" w:hAnsi="Calibri"/>
                <w:color w:val="auto"/>
                <w:kern w:val="0"/>
                <w:sz w:val="20"/>
                <w:szCs w:val="20"/>
                <w:lang w:val="ru-RU" w:eastAsia="ar-SA" w:bidi="ar-SA"/>
              </w:rPr>
              <w:t>Число туристов, посетивших объекты туристической сферы, %</w:t>
            </w:r>
          </w:p>
        </w:tc>
        <w:tc>
          <w:tcPr>
            <w:tcW w:w="1527"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100</w:t>
            </w:r>
          </w:p>
        </w:tc>
        <w:tc>
          <w:tcPr>
            <w:tcW w:w="1107"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120</w:t>
            </w:r>
          </w:p>
        </w:tc>
        <w:tc>
          <w:tcPr>
            <w:tcW w:w="971"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150</w:t>
            </w:r>
          </w:p>
        </w:tc>
        <w:tc>
          <w:tcPr>
            <w:tcW w:w="936"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200</w:t>
            </w:r>
          </w:p>
        </w:tc>
      </w:tr>
      <w:tr>
        <w:trPr/>
        <w:tc>
          <w:tcPr>
            <w:tcW w:w="5097" w:type="dxa"/>
            <w:tcBorders/>
            <w:shd w:fill="auto" w:val="clear"/>
          </w:tcPr>
          <w:p>
            <w:pPr>
              <w:pStyle w:val="Normal"/>
              <w:widowControl/>
              <w:suppressAutoHyphens w:val="false"/>
              <w:spacing w:lineRule="auto" w:line="240" w:before="0" w:after="0"/>
              <w:ind w:hanging="11"/>
              <w:jc w:val="both"/>
              <w:rPr>
                <w:rFonts w:ascii="Calibri" w:hAnsi="Calibri" w:eastAsia="Calibri" w:cs="Times New Roman"/>
              </w:rPr>
            </w:pPr>
            <w:r>
              <w:rPr>
                <w:rFonts w:eastAsia="Calibri" w:cs="Times New Roman" w:ascii="Calibri" w:hAnsi="Calibri"/>
                <w:color w:val="auto"/>
                <w:kern w:val="0"/>
                <w:sz w:val="20"/>
                <w:szCs w:val="20"/>
                <w:lang w:val="ru-RU" w:eastAsia="ar-SA" w:bidi="ar-SA"/>
              </w:rPr>
              <w:t>Количество действующих туристических маршрутов, ед.</w:t>
            </w:r>
          </w:p>
        </w:tc>
        <w:tc>
          <w:tcPr>
            <w:tcW w:w="1527"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1</w:t>
            </w:r>
          </w:p>
        </w:tc>
        <w:tc>
          <w:tcPr>
            <w:tcW w:w="1107"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2</w:t>
            </w:r>
          </w:p>
        </w:tc>
        <w:tc>
          <w:tcPr>
            <w:tcW w:w="971"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4</w:t>
            </w:r>
          </w:p>
        </w:tc>
        <w:tc>
          <w:tcPr>
            <w:tcW w:w="936"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6</w:t>
            </w:r>
          </w:p>
        </w:tc>
      </w:tr>
      <w:tr>
        <w:trPr/>
        <w:tc>
          <w:tcPr>
            <w:tcW w:w="5097" w:type="dxa"/>
            <w:tcBorders/>
            <w:shd w:fill="auto" w:val="clear"/>
          </w:tcPr>
          <w:p>
            <w:pPr>
              <w:pStyle w:val="Normal"/>
              <w:widowControl/>
              <w:suppressAutoHyphens w:val="false"/>
              <w:spacing w:lineRule="auto" w:line="240" w:before="0" w:after="0"/>
              <w:ind w:hanging="11"/>
              <w:jc w:val="both"/>
              <w:rPr>
                <w:rFonts w:ascii="Calibri" w:hAnsi="Calibri" w:eastAsia="Calibri" w:cs="Times New Roman"/>
              </w:rPr>
            </w:pPr>
            <w:r>
              <w:rPr>
                <w:rFonts w:eastAsia="Calibri" w:cs="Times New Roman" w:ascii="Calibri" w:hAnsi="Calibri"/>
                <w:color w:val="auto"/>
                <w:kern w:val="0"/>
                <w:sz w:val="20"/>
                <w:szCs w:val="20"/>
                <w:lang w:val="ru-RU" w:eastAsia="ar-SA" w:bidi="ar-SA"/>
              </w:rPr>
              <w:t>Количество работающих на постоянной основе гидов – экскурсоводов, чел.</w:t>
            </w:r>
          </w:p>
        </w:tc>
        <w:tc>
          <w:tcPr>
            <w:tcW w:w="1527"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2</w:t>
            </w:r>
          </w:p>
        </w:tc>
        <w:tc>
          <w:tcPr>
            <w:tcW w:w="1107"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3</w:t>
            </w:r>
          </w:p>
        </w:tc>
        <w:tc>
          <w:tcPr>
            <w:tcW w:w="971"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4</w:t>
            </w:r>
          </w:p>
        </w:tc>
        <w:tc>
          <w:tcPr>
            <w:tcW w:w="936" w:type="dxa"/>
            <w:tcBorders/>
            <w:shd w:fill="auto" w:val="clear"/>
            <w:vAlign w:val="center"/>
          </w:tcPr>
          <w:p>
            <w:pPr>
              <w:pStyle w:val="Normal"/>
              <w:widowControl/>
              <w:suppressAutoHyphens w:val="false"/>
              <w:spacing w:lineRule="auto" w:line="240" w:before="0" w:after="0"/>
              <w:ind w:firstLine="34"/>
              <w:jc w:val="center"/>
              <w:rPr>
                <w:rFonts w:ascii="Calibri" w:hAnsi="Calibri" w:eastAsia="Calibri" w:cs="Times New Roman"/>
              </w:rPr>
            </w:pPr>
            <w:r>
              <w:rPr>
                <w:rFonts w:eastAsia="Calibri" w:cs="Times New Roman" w:ascii="Calibri" w:hAnsi="Calibri"/>
                <w:color w:val="auto"/>
                <w:kern w:val="0"/>
                <w:sz w:val="20"/>
                <w:szCs w:val="20"/>
                <w:lang w:val="ru-RU" w:eastAsia="ar-SA" w:bidi="ar-SA"/>
              </w:rPr>
              <w:t>6</w:t>
            </w:r>
          </w:p>
        </w:tc>
      </w:tr>
    </w:tbl>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spacing w:before="0" w:after="0"/>
        <w:ind w:firstLine="709"/>
        <w:contextualSpacing/>
        <w:jc w:val="both"/>
        <w:rPr>
          <w:rFonts w:eastAsia="Calibri" w:cs="Times New Roman"/>
          <w:b/>
          <w:b/>
          <w:sz w:val="28"/>
          <w:szCs w:val="28"/>
        </w:rPr>
      </w:pPr>
      <w:r>
        <w:rPr>
          <w:rFonts w:eastAsia="Calibri" w:cs="Times New Roman"/>
          <w:sz w:val="28"/>
          <w:szCs w:val="28"/>
        </w:rPr>
        <w:t>1.</w:t>
      </w:r>
      <w:r>
        <w:rPr>
          <w:rFonts w:eastAsia="Calibri" w:cs="Times New Roman"/>
          <w:b/>
          <w:sz w:val="28"/>
          <w:szCs w:val="28"/>
        </w:rPr>
        <w:t> </w:t>
      </w:r>
      <w:r>
        <w:rPr>
          <w:rFonts w:cs="Times New Roman"/>
          <w:color w:val="000000"/>
          <w:spacing w:val="2"/>
          <w:sz w:val="28"/>
          <w:szCs w:val="28"/>
          <w:lang w:eastAsia="ru-RU"/>
        </w:rPr>
        <w:t>Создание и продвижение новых туристических маршрутов (не менее 6 единиц к 2030 г.) на территории Тереньгульского района с целью увеличения туристического потока в 2 раза.</w:t>
      </w:r>
    </w:p>
    <w:p>
      <w:pPr>
        <w:pStyle w:val="Normal"/>
        <w:shd w:val="clear" w:color="auto" w:fill="FFFFFF"/>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2. Создание системы информирования туристов (установка информационных щитов и баннеров на дорогах федерального и регионального значения) для обеспечения удобства пребывания и навигации на территории Тереньгульского района.</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3. Содействие развитию туристической инфраструктуры на территории Тереньгульского района, в том числе через применение механизмов государственно-частного партнёрства и оказание содействия предпринимателям малого и среднего бизнеса, задействованным в сфере туризма.</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4. Благоустройство мест массового отдыха на территории Тереньгульского района.</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5. Развитие событийного туризма на территории Тереньгульского района (вывод на всероссийский уровень межрегионального фестиваля гармонистов, баянистов, аккордеонистов им. А.Ф. Данилова «Тереньгульские переливы»).</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xml:space="preserve">6. Обеспечение подготовки профессиональных кадров экскурсоводов, осуществляющих профессиональную деятельность на постоянной основе </w:t>
        <w:br/>
        <w:t xml:space="preserve">на территории Тереньгульского района (не менее 6 человек к 2030 г., </w:t>
        <w:br/>
        <w:t>с расчётом 1 экскурсовод на 1 туристический маршрут).</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xml:space="preserve">7. Организация индустрии изготовления сувенирной продукции </w:t>
        <w:br/>
        <w:t>на территории Тереньгульского района, опираясь на возрождение уникальных местных традиционных промыслов.</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8. Обеспечение участия Тереньгульского района в составе делегации Ульяновской области в ежегодно проводимых общероссийских и международных презентационно-выставочных мероприятиях отрасли туризма.</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9. Формирование и продвижение туристического бренда Тереньгульского района (логотипа, графических символов, слоганов) отражающего уникальность территории на межрегиональном и всероссийском уровне.</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10. Создание специального ресурса в информационно-телекоммуникационной сети «Интернет», связанного с официальным сайтом муниципального образования, содержащего информацию об уникальных достопримечательностях, действующих туристических маршрутах, гидах-экскурсоводах и расценках на экскурсии.</w:t>
      </w:r>
    </w:p>
    <w:p>
      <w:pPr>
        <w:pStyle w:val="Normal"/>
        <w:ind w:firstLine="709"/>
        <w:jc w:val="both"/>
        <w:rPr>
          <w:rFonts w:eastAsia="Calibri" w:cs="Times New Roman"/>
          <w:sz w:val="28"/>
          <w:szCs w:val="28"/>
        </w:rPr>
      </w:pPr>
      <w:r>
        <w:rPr>
          <w:rFonts w:eastAsia="Calibri" w:cs="Times New Roman"/>
          <w:sz w:val="28"/>
          <w:szCs w:val="28"/>
        </w:rPr>
      </w:r>
    </w:p>
    <w:p>
      <w:pPr>
        <w:pStyle w:val="32"/>
        <w:rPr>
          <w:rFonts w:eastAsia="Calibri"/>
          <w:i w:val="false"/>
          <w:i w:val="false"/>
        </w:rPr>
      </w:pPr>
      <w:bookmarkStart w:id="46" w:name="_Toc4405011"/>
      <w:r>
        <w:rPr>
          <w:rFonts w:eastAsia="Calibri"/>
          <w:i w:val="false"/>
        </w:rPr>
        <w:t>2.1.2.4. Здравоохранение</w:t>
      </w:r>
      <w:bookmarkEnd w:id="46"/>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Одной из существенных проблем в сфере здравоохранения является неудовлетворительное состояние зданий ЛПУ, недооснащённость медицинским оборудованием и лекарственными препаратами ввиду недофинансирования.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Большая доля работающих лиц пенсионное возраста в отрасли здравоохранения (30% врачей и 11%  средних медицинских работников), увеличение дефицита среднего медицинского персонала свидетельствуют </w:t>
        <w:br/>
        <w:t>о недостаточной эффективности существующих мер государственной поддержки молодых специалистов.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Подцели: </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- 100%-ное оснащение медицинским оборудованием и лекарственными препаратами медицинских учреждений, приведение зданий в нормативное состояние к 2030 году согласно Стандарту оказания медицинской помощи; </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сокращение на 20% дефицита средних медицинских работников.</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noVBand="1" w:val="04a0" w:noHBand="0" w:lastColumn="0" w:firstColumn="1" w:lastRow="0" w:firstRow="1"/>
      </w:tblPr>
      <w:tblGrid>
        <w:gridCol w:w="4266"/>
        <w:gridCol w:w="1713"/>
        <w:gridCol w:w="1278"/>
        <w:gridCol w:w="1277"/>
        <w:gridCol w:w="1104"/>
      </w:tblGrid>
      <w:tr>
        <w:trPr/>
        <w:tc>
          <w:tcPr>
            <w:tcW w:w="4266"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71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127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1277"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110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4266" w:type="dxa"/>
            <w:tcBorders/>
            <w:shd w:fill="auto" w:val="clear"/>
          </w:tcPr>
          <w:p>
            <w:pPr>
              <w:pStyle w:val="ListParagraph"/>
              <w:spacing w:lineRule="auto" w:line="240" w:before="0" w:after="0"/>
              <w:ind w:left="0" w:hanging="11"/>
              <w:contextualSpacing/>
              <w:rPr>
                <w:rFonts w:cs="Times New Roman"/>
              </w:rPr>
            </w:pPr>
            <w:r>
              <w:rPr>
                <w:rFonts w:cs="Times New Roman"/>
              </w:rPr>
              <w:t>Кадровая обеспеченность системы здравоохранения:</w:t>
            </w:r>
          </w:p>
          <w:p>
            <w:pPr>
              <w:pStyle w:val="ListParagraph"/>
              <w:spacing w:lineRule="auto" w:line="240" w:before="0" w:after="0"/>
              <w:ind w:left="0" w:hanging="11"/>
              <w:contextualSpacing/>
              <w:rPr>
                <w:rFonts w:cs="Times New Roman"/>
              </w:rPr>
            </w:pPr>
            <w:r>
              <w:rPr>
                <w:rFonts w:cs="Times New Roman"/>
              </w:rPr>
              <w:t>врачи</w:t>
            </w:r>
          </w:p>
          <w:p>
            <w:pPr>
              <w:pStyle w:val="ListParagraph"/>
              <w:spacing w:lineRule="auto" w:line="240" w:before="0" w:after="0"/>
              <w:ind w:left="0" w:hanging="11"/>
              <w:contextualSpacing/>
              <w:rPr>
                <w:rFonts w:cs="Times New Roman"/>
              </w:rPr>
            </w:pPr>
            <w:r>
              <w:rPr>
                <w:rFonts w:cs="Times New Roman"/>
              </w:rPr>
              <w:t>средний медицинский персонал,%</w:t>
            </w:r>
          </w:p>
        </w:tc>
        <w:tc>
          <w:tcPr>
            <w:tcW w:w="171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64,1</w:t>
            </w:r>
          </w:p>
          <w:p>
            <w:pPr>
              <w:pStyle w:val="ListParagraph"/>
              <w:spacing w:lineRule="auto" w:line="240" w:before="0" w:after="0"/>
              <w:ind w:left="0" w:firstLine="34"/>
              <w:contextualSpacing/>
              <w:jc w:val="center"/>
              <w:rPr>
                <w:rFonts w:cs="Times New Roman"/>
              </w:rPr>
            </w:pPr>
            <w:r>
              <w:rPr>
                <w:rFonts w:cs="Times New Roman"/>
              </w:rPr>
              <w:t>68,7</w:t>
            </w:r>
          </w:p>
        </w:tc>
        <w:tc>
          <w:tcPr>
            <w:tcW w:w="127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80,9</w:t>
            </w:r>
          </w:p>
          <w:p>
            <w:pPr>
              <w:pStyle w:val="ListParagraph"/>
              <w:spacing w:lineRule="auto" w:line="240" w:before="0" w:after="0"/>
              <w:ind w:left="0" w:firstLine="34"/>
              <w:contextualSpacing/>
              <w:jc w:val="center"/>
              <w:rPr>
                <w:rFonts w:cs="Times New Roman"/>
              </w:rPr>
            </w:pPr>
            <w:r>
              <w:rPr>
                <w:rFonts w:cs="Times New Roman"/>
              </w:rPr>
              <w:t>78,0</w:t>
            </w:r>
          </w:p>
        </w:tc>
        <w:tc>
          <w:tcPr>
            <w:tcW w:w="127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81,0</w:t>
            </w:r>
          </w:p>
          <w:p>
            <w:pPr>
              <w:pStyle w:val="ListParagraph"/>
              <w:spacing w:lineRule="auto" w:line="240" w:before="0" w:after="0"/>
              <w:ind w:left="0" w:firstLine="34"/>
              <w:contextualSpacing/>
              <w:jc w:val="center"/>
              <w:rPr>
                <w:rFonts w:cs="Times New Roman"/>
              </w:rPr>
            </w:pPr>
            <w:r>
              <w:rPr>
                <w:rFonts w:cs="Times New Roman"/>
              </w:rPr>
              <w:t>88,0</w:t>
            </w:r>
          </w:p>
        </w:tc>
        <w:tc>
          <w:tcPr>
            <w:tcW w:w="110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82,0</w:t>
            </w:r>
          </w:p>
          <w:p>
            <w:pPr>
              <w:pStyle w:val="ListParagraph"/>
              <w:spacing w:lineRule="auto" w:line="240" w:before="0" w:after="0"/>
              <w:ind w:left="0" w:firstLine="34"/>
              <w:contextualSpacing/>
              <w:jc w:val="center"/>
              <w:rPr>
                <w:rFonts w:cs="Times New Roman"/>
              </w:rPr>
            </w:pPr>
            <w:r>
              <w:rPr>
                <w:rFonts w:cs="Times New Roman"/>
              </w:rPr>
              <w:t>98,7</w:t>
            </w:r>
          </w:p>
        </w:tc>
      </w:tr>
      <w:tr>
        <w:trPr/>
        <w:tc>
          <w:tcPr>
            <w:tcW w:w="4266" w:type="dxa"/>
            <w:tcBorders/>
            <w:shd w:fill="auto" w:val="clear"/>
          </w:tcPr>
          <w:p>
            <w:pPr>
              <w:pStyle w:val="ListParagraph"/>
              <w:spacing w:lineRule="auto" w:line="240" w:before="0" w:after="0"/>
              <w:ind w:left="0" w:hanging="11"/>
              <w:contextualSpacing/>
              <w:rPr>
                <w:rFonts w:cs="Times New Roman"/>
              </w:rPr>
            </w:pPr>
            <w:r>
              <w:rPr>
                <w:rFonts w:cs="Times New Roman"/>
              </w:rPr>
              <w:t>Оснащённость учреждений здравоохранения медицинским оборудованием, лекарственными препаратами в соответствии с правилами и стандартами оказания медицинской помощи, %</w:t>
            </w:r>
          </w:p>
        </w:tc>
        <w:tc>
          <w:tcPr>
            <w:tcW w:w="171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70,0</w:t>
            </w:r>
          </w:p>
        </w:tc>
        <w:tc>
          <w:tcPr>
            <w:tcW w:w="127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90,0</w:t>
            </w:r>
          </w:p>
        </w:tc>
        <w:tc>
          <w:tcPr>
            <w:tcW w:w="127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90,0</w:t>
            </w:r>
          </w:p>
        </w:tc>
        <w:tc>
          <w:tcPr>
            <w:tcW w:w="110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100,0</w:t>
            </w:r>
          </w:p>
        </w:tc>
      </w:tr>
    </w:tbl>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1. Доведение уровня лекарственного обеспечения и укомплектованности медицинским оборудованием медицинских учреждений до 100%, приведение зданий медицинских учреждений в нормативное состояние: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ремонт 17 ФАПов;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ремонт офиса ВОП в с. Ясашная Ташла;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ремонт терапевтического отделения ЦРБ;</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замена окон,  капитальный ремонт инженерных коммуникаций в здании  врачебной амбулатории в с. Ясашная Ташла;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приобретение медицинского оборудования (2 операционных стола, аппарат УЗИ);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приобретение медицинской мебели для поликлиники;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поддержание нормативного технического состояния транспортных средств.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2. Сокращение дефицита среднего медицинского персонала на 20% </w:t>
        <w:br/>
        <w:t>к 2030 году:</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проведение профориентационной работы со студентами профессиональных образовательных организаций с целью привлечения </w:t>
        <w:br/>
        <w:t>в отрасль молодых кадров, организация сопровождения студентов профильных ссузов;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организация мест прохождения практики в учреждениях здравоохранения, содействие дальнейшему трудоустройству молодых специалистов;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привлечение молодых специалистов из числа студентов профильных ссузов Ульяновской области и соседних регионов;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пересмотр мер социальной поддержки среднего медицинского персонала.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Решение указанных вопросов позволит сократить число умерших среди населения от наиболее распространённых заболеваний (сердечно-сосудистых болезней, онкологических заболеваний), что обозначено в национальном проекте «Здравоохранение».</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32"/>
        <w:rPr>
          <w:rFonts w:eastAsia="Calibri"/>
          <w:i w:val="false"/>
          <w:i w:val="false"/>
        </w:rPr>
      </w:pPr>
      <w:bookmarkStart w:id="47" w:name="_Toc4405012"/>
      <w:r>
        <w:rPr>
          <w:rFonts w:eastAsia="Calibri"/>
          <w:i w:val="false"/>
        </w:rPr>
        <w:t>2.1.2.5. Физическая культура и спорт</w:t>
      </w:r>
      <w:bookmarkEnd w:id="47"/>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В сфере физической культуры и спорта одной из главных задач является формирование у населения потребности в ведении здорового образа жизни. Ввиду этого существует необходимость привлечения в спортивно-соревновательную деятельность всех возрастных групп населения, а также создания необходимых условий для спортивно-массовой работы </w:t>
        <w:br/>
        <w:t>в муниципальном образовании.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Анализ показал положительную динамику численности занимающихся физической культурой и спортом.  В период с 2008 по 2018 гг. наблюдается рост данного показателя практически в два раза (с 3534 до 6773 человек). На территории Тереньгульского района в настоящее время развивается 12 видов спорта, с общим охватом занимающихся 2682 человека.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На территории Ульяновской области в рамках национального проекта «Демография» реализуется региональный проект «Спорт – норма жизни».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Приоритетные направления развития физической культуры и спорта в муниципальном образовании: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1. Массовый спорт.</w:t>
      </w:r>
    </w:p>
    <w:p>
      <w:pPr>
        <w:pStyle w:val="Normal"/>
        <w:spacing w:before="0" w:after="0"/>
        <w:ind w:firstLine="709"/>
        <w:contextualSpacing/>
        <w:jc w:val="both"/>
        <w:rPr>
          <w:rFonts w:eastAsia="Calibri" w:cs="Times New Roman"/>
          <w:sz w:val="28"/>
          <w:szCs w:val="28"/>
        </w:rPr>
      </w:pPr>
      <w:r>
        <w:rPr>
          <w:rFonts w:eastAsia="Calibri" w:cs="Times New Roman"/>
          <w:sz w:val="28"/>
          <w:szCs w:val="28"/>
        </w:rPr>
        <w:t>2. Волейбол (число занимающихся: 1040 человек).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t>3. Футбол (число занимающихся: 400 человек).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t>4. Тяжелая атлетика (число занимающихся: 190 человек).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t>Развитию отрасли физической культуры и спорта в Тереньгульском районе препятствует ряд проблем:</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недостаточное развитие материально-технической базы;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отсутствие крупных спортивных мероприятий на территории муниципального образования;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недостаточная информированность населения о мероприятиях в сфере физической культуры и спорта.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Normal"/>
        <w:ind w:firstLine="709"/>
        <w:jc w:val="both"/>
        <w:rPr>
          <w:rFonts w:eastAsia="Calibri" w:cs="Times New Roman"/>
          <w:b/>
          <w:b/>
          <w:i/>
          <w:i/>
          <w:sz w:val="28"/>
          <w:szCs w:val="28"/>
        </w:rPr>
      </w:pPr>
      <w:r>
        <w:rPr>
          <w:rFonts w:eastAsia="Calibri" w:cs="Times New Roman"/>
          <w:b/>
          <w:i/>
          <w:sz w:val="28"/>
          <w:szCs w:val="28"/>
        </w:rPr>
        <w:t xml:space="preserve">Подцели: </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увеличение доли граждан, систематически занимающихся физической культурой и спортом;</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обеспечение спортивной отрасли муниципалитета новыми квалифицированными кадрами тренерско-преподавательского состава. </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24"/>
        <w:tblW w:w="5000" w:type="pct"/>
        <w:jc w:val="left"/>
        <w:tblInd w:w="0" w:type="dxa"/>
        <w:tblCellMar>
          <w:top w:w="0" w:type="dxa"/>
          <w:left w:w="108" w:type="dxa"/>
          <w:bottom w:w="0" w:type="dxa"/>
          <w:right w:w="108" w:type="dxa"/>
        </w:tblCellMar>
        <w:tblLook w:noVBand="1" w:val="04a0" w:noHBand="0" w:lastColumn="0" w:firstColumn="1" w:lastRow="0" w:firstRow="1"/>
      </w:tblPr>
      <w:tblGrid>
        <w:gridCol w:w="3671"/>
        <w:gridCol w:w="1514"/>
        <w:gridCol w:w="1442"/>
        <w:gridCol w:w="1444"/>
        <w:gridCol w:w="1567"/>
      </w:tblGrid>
      <w:tr>
        <w:trPr/>
        <w:tc>
          <w:tcPr>
            <w:tcW w:w="3671" w:type="dxa"/>
            <w:tcBorders/>
            <w:shd w:fill="auto" w:val="clear"/>
            <w:vAlign w:val="cente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Показатель</w:t>
            </w:r>
          </w:p>
        </w:tc>
        <w:tc>
          <w:tcPr>
            <w:tcW w:w="1514" w:type="dxa"/>
            <w:tcBorders/>
            <w:shd w:fill="auto" w:val="clear"/>
            <w:vAlign w:val="center"/>
          </w:tcPr>
          <w:p>
            <w:pPr>
              <w:pStyle w:val="Normal"/>
              <w:keepNext w:val="true"/>
              <w:keepLines/>
              <w:widowControl/>
              <w:suppressAutoHyphens w:val="true"/>
              <w:spacing w:lineRule="auto" w:line="240" w:before="0" w:after="0"/>
              <w:jc w:val="center"/>
              <w:rPr>
                <w:b/>
                <w:b/>
              </w:rPr>
            </w:pPr>
            <w:r>
              <w:rPr>
                <w:rFonts w:eastAsia="Calibri" w:cs="Times New Roman" w:ascii="Calibri" w:hAnsi="Calibri"/>
                <w:b/>
                <w:bCs/>
                <w:i/>
                <w:color w:val="auto" w:themeColor="accent1"/>
                <w:kern w:val="0"/>
                <w:sz w:val="28"/>
                <w:szCs w:val="28"/>
                <w:u w:val="single"/>
                <w:lang w:val="ru-RU" w:eastAsia="ar-SA" w:bidi="ar-SA"/>
              </w:rPr>
              <w:t>2017</w:t>
            </w:r>
          </w:p>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(базовый)</w:t>
            </w:r>
          </w:p>
        </w:tc>
        <w:tc>
          <w:tcPr>
            <w:tcW w:w="1442" w:type="dxa"/>
            <w:tcBorders/>
            <w:shd w:fill="auto" w:val="clear"/>
            <w:vAlign w:val="center"/>
          </w:tcPr>
          <w:p>
            <w:pPr>
              <w:pStyle w:val="Normal"/>
              <w:keepNext w:val="true"/>
              <w:keepLines/>
              <w:widowControl/>
              <w:suppressAutoHyphens w:val="true"/>
              <w:spacing w:lineRule="auto" w:line="240" w:before="0" w:after="0"/>
              <w:jc w:val="center"/>
              <w:rPr>
                <w:b/>
                <w:b/>
              </w:rPr>
            </w:pPr>
            <w:r>
              <w:rPr>
                <w:rFonts w:eastAsia="Calibri" w:cs="Times New Roman" w:ascii="Calibri" w:hAnsi="Calibri"/>
                <w:b/>
                <w:bCs/>
                <w:i/>
                <w:color w:val="auto" w:themeColor="accent1"/>
                <w:kern w:val="0"/>
                <w:sz w:val="28"/>
                <w:szCs w:val="28"/>
                <w:u w:val="single"/>
                <w:lang w:val="ru-RU" w:eastAsia="ar-SA" w:bidi="ar-SA"/>
              </w:rPr>
              <w:t>2020</w:t>
            </w:r>
          </w:p>
        </w:tc>
        <w:tc>
          <w:tcPr>
            <w:tcW w:w="1444" w:type="dxa"/>
            <w:tcBorders/>
            <w:shd w:fill="auto" w:val="clear"/>
            <w:vAlign w:val="center"/>
          </w:tcPr>
          <w:p>
            <w:pPr>
              <w:pStyle w:val="Normal"/>
              <w:keepNext w:val="true"/>
              <w:keepLines/>
              <w:widowControl/>
              <w:suppressAutoHyphens w:val="true"/>
              <w:spacing w:lineRule="auto" w:line="240" w:before="0" w:after="0"/>
              <w:jc w:val="center"/>
              <w:rPr>
                <w:b/>
                <w:b/>
              </w:rPr>
            </w:pPr>
            <w:r>
              <w:rPr>
                <w:rFonts w:eastAsia="Calibri" w:cs="Times New Roman" w:ascii="Calibri" w:hAnsi="Calibri"/>
                <w:b/>
                <w:bCs/>
                <w:i/>
                <w:color w:val="auto" w:themeColor="accent1"/>
                <w:kern w:val="0"/>
                <w:sz w:val="28"/>
                <w:szCs w:val="28"/>
                <w:u w:val="single"/>
                <w:lang w:val="ru-RU" w:eastAsia="ar-SA" w:bidi="ar-SA"/>
              </w:rPr>
              <w:t>2024</w:t>
            </w:r>
          </w:p>
        </w:tc>
        <w:tc>
          <w:tcPr>
            <w:tcW w:w="1567" w:type="dxa"/>
            <w:tcBorders/>
            <w:shd w:fill="auto" w:val="clear"/>
            <w:vAlign w:val="center"/>
          </w:tcPr>
          <w:p>
            <w:pPr>
              <w:pStyle w:val="Normal"/>
              <w:keepNext w:val="true"/>
              <w:keepLines/>
              <w:widowControl/>
              <w:suppressAutoHyphens w:val="true"/>
              <w:spacing w:lineRule="auto" w:line="240" w:before="0" w:after="0"/>
              <w:jc w:val="center"/>
              <w:rPr>
                <w:b/>
                <w:b/>
              </w:rPr>
            </w:pPr>
            <w:r>
              <w:rPr>
                <w:rFonts w:eastAsia="Calibri" w:cs="Times New Roman" w:ascii="Calibri" w:hAnsi="Calibri"/>
                <w:b/>
                <w:bCs/>
                <w:i/>
                <w:color w:val="auto" w:themeColor="accent1"/>
                <w:kern w:val="0"/>
                <w:sz w:val="28"/>
                <w:szCs w:val="28"/>
                <w:u w:val="single"/>
                <w:lang w:val="ru-RU" w:eastAsia="ar-SA" w:bidi="ar-SA"/>
              </w:rPr>
              <w:t>2030</w:t>
            </w:r>
          </w:p>
        </w:tc>
      </w:tr>
      <w:tr>
        <w:trPr>
          <w:trHeight w:val="557" w:hRule="atLeast"/>
        </w:trPr>
        <w:tc>
          <w:tcPr>
            <w:tcW w:w="3671" w:type="dxa"/>
            <w:tcBorders/>
            <w:shd w:fill="auto" w:val="clea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 xml:space="preserve">Число занимающихся спортом и физической культурой, чел. </w:t>
            </w:r>
          </w:p>
        </w:tc>
        <w:tc>
          <w:tcPr>
            <w:tcW w:w="1514"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6230</w:t>
            </w:r>
          </w:p>
        </w:tc>
        <w:tc>
          <w:tcPr>
            <w:tcW w:w="1442"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7250</w:t>
            </w:r>
          </w:p>
        </w:tc>
        <w:tc>
          <w:tcPr>
            <w:tcW w:w="1444"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9195</w:t>
            </w:r>
          </w:p>
        </w:tc>
        <w:tc>
          <w:tcPr>
            <w:tcW w:w="1567"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10450</w:t>
            </w:r>
          </w:p>
        </w:tc>
      </w:tr>
      <w:tr>
        <w:trPr>
          <w:trHeight w:val="558" w:hRule="atLeast"/>
        </w:trPr>
        <w:tc>
          <w:tcPr>
            <w:tcW w:w="3671" w:type="dxa"/>
            <w:tcBorders/>
            <w:shd w:fill="auto" w:val="clea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 xml:space="preserve">Доля граждан, систематически занимающихся спортом и физической культурой, в общей численности населения муниципального образования, % </w:t>
            </w:r>
          </w:p>
        </w:tc>
        <w:tc>
          <w:tcPr>
            <w:tcW w:w="1514"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35,0</w:t>
            </w:r>
          </w:p>
        </w:tc>
        <w:tc>
          <w:tcPr>
            <w:tcW w:w="1442"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43,2</w:t>
            </w:r>
          </w:p>
        </w:tc>
        <w:tc>
          <w:tcPr>
            <w:tcW w:w="1444"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55,0</w:t>
            </w:r>
          </w:p>
        </w:tc>
        <w:tc>
          <w:tcPr>
            <w:tcW w:w="1567"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63,0</w:t>
            </w:r>
          </w:p>
        </w:tc>
      </w:tr>
    </w:tbl>
    <w:p>
      <w:pPr>
        <w:pStyle w:val="Normal"/>
        <w:ind w:firstLine="709"/>
        <w:jc w:val="both"/>
        <w:rPr>
          <w:rFonts w:eastAsia="Calibri" w:cs="Times New Roman"/>
          <w:b/>
          <w:b/>
          <w:sz w:val="28"/>
          <w:szCs w:val="28"/>
        </w:rPr>
      </w:pPr>
      <w:r>
        <w:rPr>
          <w:rFonts w:eastAsia="Calibri" w:cs="Times New Roman"/>
          <w:b/>
          <w:sz w:val="28"/>
          <w:szCs w:val="28"/>
        </w:rPr>
      </w:r>
    </w:p>
    <w:p>
      <w:pPr>
        <w:pStyle w:val="Normal"/>
        <w:ind w:firstLine="709"/>
        <w:jc w:val="both"/>
        <w:rPr>
          <w:rFonts w:eastAsia="Calibri" w:cs="Times New Roman"/>
          <w:b/>
          <w:b/>
          <w:sz w:val="28"/>
          <w:szCs w:val="28"/>
        </w:rPr>
      </w:pPr>
      <w:r>
        <w:rPr>
          <w:rFonts w:eastAsia="Calibri" w:cs="Times New Roman"/>
          <w:b/>
          <w:sz w:val="28"/>
          <w:szCs w:val="28"/>
        </w:rPr>
        <w:t xml:space="preserve">Задачи: </w:t>
      </w:r>
    </w:p>
    <w:p>
      <w:pPr>
        <w:pStyle w:val="Normal"/>
        <w:ind w:firstLine="709"/>
        <w:jc w:val="both"/>
        <w:rPr>
          <w:rFonts w:eastAsia="Calibri" w:cs="Times New Roman"/>
          <w:sz w:val="28"/>
          <w:szCs w:val="28"/>
        </w:rPr>
      </w:pPr>
      <w:r>
        <w:rPr>
          <w:rFonts w:eastAsia="Calibri" w:cs="Times New Roman"/>
          <w:sz w:val="28"/>
          <w:szCs w:val="28"/>
        </w:rPr>
        <w:t>1. Развитие спортивной инфраструктуры в муниципальном образовании:</w:t>
      </w:r>
    </w:p>
    <w:p>
      <w:pPr>
        <w:pStyle w:val="Normal"/>
        <w:ind w:firstLine="709"/>
        <w:jc w:val="both"/>
        <w:rPr>
          <w:rFonts w:eastAsia="Calibri" w:cs="Times New Roman"/>
          <w:sz w:val="28"/>
          <w:szCs w:val="28"/>
        </w:rPr>
      </w:pPr>
      <w:r>
        <w:rPr>
          <w:rFonts w:eastAsia="Calibri" w:cs="Times New Roman"/>
          <w:sz w:val="28"/>
          <w:szCs w:val="28"/>
        </w:rPr>
        <w:t xml:space="preserve">-строительство многофункционального физкультурно-оздоровительного комплекса в р.п. Тереньга; </w:t>
      </w:r>
    </w:p>
    <w:p>
      <w:pPr>
        <w:pStyle w:val="Normal"/>
        <w:ind w:firstLine="709"/>
        <w:jc w:val="both"/>
        <w:rPr>
          <w:rFonts w:eastAsia="Calibri" w:cs="Times New Roman"/>
          <w:sz w:val="28"/>
          <w:szCs w:val="28"/>
        </w:rPr>
      </w:pPr>
      <w:r>
        <w:rPr>
          <w:rFonts w:eastAsia="Calibri" w:cs="Times New Roman"/>
          <w:sz w:val="28"/>
          <w:szCs w:val="28"/>
        </w:rPr>
        <w:t>- строительство Центра тяжёлой атлетики в с. Солдатская Ташла;</w:t>
      </w:r>
    </w:p>
    <w:p>
      <w:pPr>
        <w:pStyle w:val="Normal"/>
        <w:ind w:firstLine="709"/>
        <w:jc w:val="both"/>
        <w:rPr>
          <w:rFonts w:eastAsia="Calibri" w:cs="Times New Roman"/>
          <w:sz w:val="28"/>
          <w:szCs w:val="28"/>
        </w:rPr>
      </w:pPr>
      <w:r>
        <w:rPr>
          <w:rFonts w:eastAsia="Calibri" w:cs="Times New Roman"/>
          <w:sz w:val="28"/>
          <w:szCs w:val="28"/>
        </w:rPr>
        <w:t>- строительство спортивной площадки ГТО в р.п. Тереньга;</w:t>
      </w:r>
    </w:p>
    <w:p>
      <w:pPr>
        <w:pStyle w:val="Normal"/>
        <w:ind w:firstLine="709"/>
        <w:jc w:val="both"/>
        <w:rPr>
          <w:rFonts w:eastAsia="Calibri" w:cs="Times New Roman"/>
          <w:sz w:val="28"/>
          <w:szCs w:val="28"/>
        </w:rPr>
      </w:pPr>
      <w:r>
        <w:rPr>
          <w:rFonts w:eastAsia="Calibri" w:cs="Times New Roman"/>
          <w:sz w:val="28"/>
          <w:szCs w:val="28"/>
        </w:rPr>
        <w:t>- строительство спортивной площадки для воркаута в р.п. Тереньга;</w:t>
      </w:r>
    </w:p>
    <w:p>
      <w:pPr>
        <w:pStyle w:val="Normal"/>
        <w:ind w:firstLine="709"/>
        <w:jc w:val="both"/>
        <w:rPr>
          <w:rFonts w:eastAsia="Calibri" w:cs="Times New Roman"/>
          <w:sz w:val="28"/>
          <w:szCs w:val="28"/>
        </w:rPr>
      </w:pPr>
      <w:r>
        <w:rPr>
          <w:rFonts w:eastAsia="Calibri" w:cs="Times New Roman"/>
          <w:sz w:val="28"/>
          <w:szCs w:val="28"/>
        </w:rPr>
        <w:t>- строительство хоккейной коробки в р.п. Тереньга;</w:t>
      </w:r>
    </w:p>
    <w:p>
      <w:pPr>
        <w:pStyle w:val="Normal"/>
        <w:ind w:firstLine="709"/>
        <w:jc w:val="both"/>
        <w:rPr>
          <w:rFonts w:eastAsia="Calibri" w:cs="Times New Roman"/>
          <w:sz w:val="28"/>
          <w:szCs w:val="28"/>
        </w:rPr>
      </w:pPr>
      <w:r>
        <w:rPr>
          <w:rFonts w:eastAsia="Calibri" w:cs="Times New Roman"/>
          <w:sz w:val="28"/>
          <w:szCs w:val="28"/>
        </w:rPr>
        <w:t xml:space="preserve">- реконструкция центрального стадиона  в парке «Дружбы народов» </w:t>
        <w:br/>
        <w:t>в р.п Тереньга.</w:t>
      </w:r>
    </w:p>
    <w:p>
      <w:pPr>
        <w:pStyle w:val="Normal"/>
        <w:ind w:firstLine="709"/>
        <w:jc w:val="both"/>
        <w:rPr>
          <w:rFonts w:eastAsia="Calibri" w:cs="Times New Roman"/>
          <w:sz w:val="28"/>
          <w:szCs w:val="28"/>
        </w:rPr>
      </w:pPr>
      <w:r>
        <w:rPr>
          <w:rFonts w:eastAsia="Calibri" w:cs="Times New Roman"/>
          <w:sz w:val="28"/>
          <w:szCs w:val="28"/>
        </w:rPr>
        <w:t>2. Активизация спортивно-массовой работы в районе, том числе вовлечение жителей в подготовку и выполнение нормативов Всероссийского физкультурно-спортивного комплекса «Готов к труду и обороне» (ГТО).</w:t>
      </w:r>
    </w:p>
    <w:p>
      <w:pPr>
        <w:pStyle w:val="Normal"/>
        <w:ind w:firstLine="709"/>
        <w:jc w:val="both"/>
        <w:rPr>
          <w:rFonts w:eastAsia="Calibri" w:cs="Times New Roman"/>
          <w:sz w:val="28"/>
          <w:szCs w:val="28"/>
        </w:rPr>
      </w:pPr>
      <w:r>
        <w:rPr>
          <w:rFonts w:eastAsia="Calibri" w:cs="Times New Roman"/>
          <w:sz w:val="28"/>
          <w:szCs w:val="28"/>
        </w:rPr>
        <w:t>3. Осуществление информационной кампании, направленной на популяризацию регулярных занятий физической культурой и спортом, а также повышение информированности жителей о спортивных мероприятиях.</w:t>
      </w:r>
    </w:p>
    <w:p>
      <w:pPr>
        <w:pStyle w:val="Normal"/>
        <w:ind w:firstLine="709"/>
        <w:jc w:val="both"/>
        <w:rPr>
          <w:rFonts w:eastAsia="Calibri" w:cs="Times New Roman"/>
          <w:sz w:val="28"/>
          <w:szCs w:val="28"/>
        </w:rPr>
      </w:pPr>
      <w:r>
        <w:rPr>
          <w:rFonts w:eastAsia="Calibri" w:cs="Times New Roman"/>
          <w:sz w:val="28"/>
          <w:szCs w:val="28"/>
        </w:rPr>
        <w:t xml:space="preserve">4. Активизация кадровой политики по привлечению молодых специалистов в области физической культуры и спорта. Для решения указанной задачи необходима реализация следующих шагов: </w:t>
      </w:r>
    </w:p>
    <w:p>
      <w:pPr>
        <w:pStyle w:val="Normal"/>
        <w:ind w:firstLine="708"/>
        <w:jc w:val="both"/>
        <w:rPr>
          <w:rFonts w:eastAsia="Calibri" w:cs="Times New Roman"/>
          <w:sz w:val="28"/>
          <w:szCs w:val="28"/>
        </w:rPr>
      </w:pPr>
      <w:r>
        <w:rPr>
          <w:rFonts w:eastAsia="Calibri" w:cs="Times New Roman"/>
          <w:sz w:val="28"/>
          <w:szCs w:val="28"/>
        </w:rPr>
        <w:t>- составление прогноза потребности в кадрах в сфере физической культуры и спорта;</w:t>
      </w:r>
    </w:p>
    <w:p>
      <w:pPr>
        <w:pStyle w:val="Normal"/>
        <w:ind w:firstLine="708"/>
        <w:jc w:val="both"/>
        <w:rPr>
          <w:rFonts w:eastAsia="Calibri" w:cs="Times New Roman"/>
          <w:sz w:val="28"/>
          <w:szCs w:val="28"/>
        </w:rPr>
      </w:pPr>
      <w:r>
        <w:rPr>
          <w:rFonts w:eastAsia="Calibri" w:cs="Times New Roman"/>
          <w:sz w:val="28"/>
          <w:szCs w:val="28"/>
        </w:rPr>
        <w:t>- формирование целевого набора в образовательные организации высшего образования в соответствии с прогнозируемой потребностью;</w:t>
      </w:r>
    </w:p>
    <w:p>
      <w:pPr>
        <w:pStyle w:val="Normal"/>
        <w:ind w:firstLine="708"/>
        <w:jc w:val="both"/>
        <w:rPr>
          <w:rFonts w:eastAsia="Calibri" w:cs="Times New Roman"/>
          <w:sz w:val="28"/>
          <w:szCs w:val="28"/>
        </w:rPr>
      </w:pPr>
      <w:r>
        <w:rPr>
          <w:rFonts w:eastAsia="Calibri" w:cs="Times New Roman"/>
          <w:sz w:val="28"/>
          <w:szCs w:val="28"/>
        </w:rPr>
        <w:t>- разработка и реализация программы кадрового обеспечения социальной сферы, предусматривающей дополнительные меры социальной поддержки молодых специалистов (жильё, доплаты);</w:t>
      </w:r>
    </w:p>
    <w:p>
      <w:pPr>
        <w:pStyle w:val="Normal"/>
        <w:ind w:firstLine="708"/>
        <w:jc w:val="both"/>
        <w:rPr>
          <w:rFonts w:eastAsia="Calibri" w:cs="Times New Roman"/>
          <w:sz w:val="28"/>
          <w:szCs w:val="28"/>
        </w:rPr>
      </w:pPr>
      <w:r>
        <w:rPr>
          <w:rFonts w:eastAsia="Calibri" w:cs="Times New Roman"/>
          <w:sz w:val="28"/>
          <w:szCs w:val="28"/>
        </w:rPr>
        <w:t>- организация сопровождения студентов профессиональных образовательных организаций и образовательных организаций высшего образования, организация мест прохождения практики на территории района, оказание содействия трудоустройству.</w:t>
      </w:r>
    </w:p>
    <w:p>
      <w:pPr>
        <w:pStyle w:val="Normal"/>
        <w:spacing w:before="0" w:after="0"/>
        <w:ind w:firstLine="709"/>
        <w:contextualSpacing/>
        <w:jc w:val="both"/>
        <w:rPr>
          <w:rFonts w:cs="Times New Roman"/>
          <w:b/>
          <w:b/>
          <w:sz w:val="28"/>
          <w:szCs w:val="28"/>
        </w:rPr>
      </w:pPr>
      <w:r>
        <w:rPr>
          <w:rFonts w:cs="Times New Roman"/>
          <w:b/>
          <w:sz w:val="28"/>
          <w:szCs w:val="28"/>
        </w:rPr>
      </w:r>
    </w:p>
    <w:p>
      <w:pPr>
        <w:pStyle w:val="Normal"/>
        <w:rPr/>
      </w:pPr>
      <w:bookmarkStart w:id="48" w:name="_Toc4405013"/>
      <w:r>
        <w:rPr/>
        <w:t>2.1.3. Создание условий для успешной социализации, самореализации молодёжи, вовлечения в общественно полезную деятельность</w:t>
      </w:r>
      <w:bookmarkEnd w:id="48"/>
    </w:p>
    <w:p>
      <w:pPr>
        <w:pStyle w:val="Normal"/>
        <w:spacing w:before="0" w:after="0"/>
        <w:ind w:firstLine="709"/>
        <w:contextualSpacing/>
        <w:jc w:val="both"/>
        <w:rPr>
          <w:rFonts w:cs="Times New Roman"/>
          <w:sz w:val="28"/>
          <w:szCs w:val="28"/>
        </w:rPr>
      </w:pPr>
      <w:r>
        <w:rPr>
          <w:rFonts w:cs="Times New Roman"/>
          <w:sz w:val="28"/>
          <w:szCs w:val="28"/>
        </w:rPr>
        <w:t xml:space="preserve">Молодёжь – стратегический ресурс, интеллектуальный, репродуктивный, социально-экономический резерв, дающий конкурентные преимущества </w:t>
        <w:br/>
        <w:t xml:space="preserve">в  развитии территории. Эффективная молодёжная политика – один из главных инструментов развития территории. </w:t>
      </w:r>
    </w:p>
    <w:p>
      <w:pPr>
        <w:pStyle w:val="Normal"/>
        <w:spacing w:before="0" w:after="0"/>
        <w:ind w:firstLine="709"/>
        <w:contextualSpacing/>
        <w:jc w:val="both"/>
        <w:rPr>
          <w:rFonts w:cs="Times New Roman"/>
          <w:b/>
          <w:b/>
          <w:i/>
          <w:i/>
          <w:sz w:val="28"/>
          <w:szCs w:val="28"/>
        </w:rPr>
      </w:pPr>
      <w:r>
        <w:rPr>
          <w:rFonts w:cs="Times New Roman"/>
          <w:b/>
          <w:i/>
          <w:sz w:val="28"/>
          <w:szCs w:val="28"/>
        </w:rPr>
        <w:t>Подцель - сокращение миграционного оттока молодёжи.</w:t>
      </w:r>
    </w:p>
    <w:p>
      <w:pPr>
        <w:pStyle w:val="Normal"/>
        <w:spacing w:before="0" w:after="0"/>
        <w:ind w:firstLine="709"/>
        <w:contextualSpacing/>
        <w:jc w:val="both"/>
        <w:rPr>
          <w:rFonts w:cs="Times New Roman"/>
          <w:b/>
          <w:b/>
          <w:sz w:val="28"/>
          <w:szCs w:val="28"/>
        </w:rPr>
      </w:pPr>
      <w:r>
        <w:rPr>
          <w:rFonts w:cs="Times New Roman"/>
          <w:b/>
          <w:sz w:val="28"/>
          <w:szCs w:val="28"/>
        </w:rPr>
        <w:t>Целевые показатели:</w:t>
      </w:r>
    </w:p>
    <w:tbl>
      <w:tblPr>
        <w:tblStyle w:val="af1"/>
        <w:tblW w:w="9607" w:type="dxa"/>
        <w:jc w:val="left"/>
        <w:tblInd w:w="108" w:type="dxa"/>
        <w:tblCellMar>
          <w:top w:w="0" w:type="dxa"/>
          <w:left w:w="108" w:type="dxa"/>
          <w:bottom w:w="0" w:type="dxa"/>
          <w:right w:w="108" w:type="dxa"/>
        </w:tblCellMar>
        <w:tblLook w:noVBand="1" w:val="04a0" w:noHBand="0" w:lastColumn="0" w:firstColumn="1" w:lastRow="0" w:firstRow="1"/>
      </w:tblPr>
      <w:tblGrid>
        <w:gridCol w:w="5102"/>
        <w:gridCol w:w="1560"/>
        <w:gridCol w:w="992"/>
        <w:gridCol w:w="994"/>
        <w:gridCol w:w="959"/>
      </w:tblGrid>
      <w:tr>
        <w:trPr/>
        <w:tc>
          <w:tcPr>
            <w:tcW w:w="5102"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56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59"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102" w:type="dxa"/>
            <w:tcBorders/>
            <w:shd w:fill="auto" w:val="clear"/>
          </w:tcPr>
          <w:p>
            <w:pPr>
              <w:pStyle w:val="ListParagraph"/>
              <w:spacing w:lineRule="auto" w:line="240" w:before="0" w:after="0"/>
              <w:ind w:left="0" w:hanging="11"/>
              <w:contextualSpacing/>
              <w:rPr>
                <w:rFonts w:cs="Times New Roman"/>
              </w:rPr>
            </w:pPr>
            <w:r>
              <w:rPr>
                <w:rFonts w:cs="Times New Roman"/>
              </w:rPr>
              <w:t>Доля молодёжи (14-30 лет), охваченной мероприятиями молодёжной политики, %</w:t>
            </w:r>
          </w:p>
        </w:tc>
        <w:tc>
          <w:tcPr>
            <w:tcW w:w="15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38,2</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60,0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80,0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90,0</w:t>
            </w:r>
          </w:p>
        </w:tc>
      </w:tr>
      <w:tr>
        <w:trPr/>
        <w:tc>
          <w:tcPr>
            <w:tcW w:w="5102" w:type="dxa"/>
            <w:tcBorders/>
            <w:shd w:fill="auto" w:val="clear"/>
          </w:tcPr>
          <w:p>
            <w:pPr>
              <w:pStyle w:val="ListParagraph"/>
              <w:spacing w:lineRule="auto" w:line="240" w:before="0" w:after="0"/>
              <w:ind w:left="0" w:hanging="11"/>
              <w:contextualSpacing/>
              <w:rPr>
                <w:rFonts w:cs="Times New Roman"/>
              </w:rPr>
            </w:pPr>
            <w:r>
              <w:rPr>
                <w:rFonts w:cs="Times New Roman"/>
              </w:rPr>
              <w:t>Доля выпускников профессиональных образовательных организаций и образовательных организаций высшего образования, трудоустроившихся на территории Тереньгульского района,%</w:t>
            </w:r>
          </w:p>
        </w:tc>
        <w:tc>
          <w:tcPr>
            <w:tcW w:w="15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39,5</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50,0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50,6</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60,0</w:t>
            </w:r>
          </w:p>
        </w:tc>
      </w:tr>
      <w:tr>
        <w:trPr/>
        <w:tc>
          <w:tcPr>
            <w:tcW w:w="5102" w:type="dxa"/>
            <w:tcBorders/>
            <w:shd w:fill="auto" w:val="clear"/>
          </w:tcPr>
          <w:p>
            <w:pPr>
              <w:pStyle w:val="ListParagraph"/>
              <w:spacing w:lineRule="auto" w:line="240" w:before="0" w:after="0"/>
              <w:ind w:left="0" w:hanging="11"/>
              <w:contextualSpacing/>
              <w:rPr>
                <w:rFonts w:cs="Times New Roman"/>
              </w:rPr>
            </w:pPr>
            <w:r>
              <w:rPr>
                <w:rFonts w:cs="Times New Roman"/>
              </w:rPr>
              <w:t>Уровень удовлетворённости молодёжи условиями проживания и возможностью самореализации на территории муниципального образования, % опрошенных</w:t>
            </w:r>
          </w:p>
        </w:tc>
        <w:tc>
          <w:tcPr>
            <w:tcW w:w="15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40,0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50,0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60,0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70,0</w:t>
            </w:r>
          </w:p>
        </w:tc>
      </w:tr>
    </w:tbl>
    <w:p>
      <w:pPr>
        <w:pStyle w:val="Normal"/>
        <w:spacing w:before="0" w:after="0"/>
        <w:ind w:firstLine="709"/>
        <w:contextualSpacing/>
        <w:jc w:val="both"/>
        <w:rPr>
          <w:rFonts w:cs="Times New Roman"/>
        </w:rPr>
      </w:pPr>
      <w:r>
        <w:rPr>
          <w:rFonts w:cs="Times New Roman"/>
        </w:rPr>
      </w:r>
    </w:p>
    <w:p>
      <w:pPr>
        <w:pStyle w:val="Normal"/>
        <w:spacing w:before="0" w:after="0"/>
        <w:ind w:firstLine="709"/>
        <w:contextualSpacing/>
        <w:jc w:val="both"/>
        <w:rPr>
          <w:rFonts w:cs="Times New Roman"/>
          <w:b/>
          <w:b/>
          <w:sz w:val="28"/>
          <w:szCs w:val="28"/>
        </w:rPr>
      </w:pPr>
      <w:r>
        <w:rPr>
          <w:rFonts w:cs="Times New Roman"/>
          <w:b/>
          <w:sz w:val="28"/>
          <w:szCs w:val="28"/>
        </w:rPr>
        <w:t>Задачи:</w:t>
      </w:r>
    </w:p>
    <w:p>
      <w:pPr>
        <w:pStyle w:val="Normal"/>
        <w:spacing w:before="0" w:after="0"/>
        <w:ind w:firstLine="709"/>
        <w:contextualSpacing/>
        <w:jc w:val="both"/>
        <w:rPr>
          <w:rFonts w:cs="Times New Roman"/>
          <w:sz w:val="28"/>
          <w:szCs w:val="28"/>
        </w:rPr>
      </w:pPr>
      <w:r>
        <w:rPr>
          <w:rFonts w:cs="Times New Roman"/>
          <w:sz w:val="28"/>
          <w:szCs w:val="28"/>
        </w:rPr>
        <w:t>1. Увеличение охвата молодёжи категории 19-30 лет, вовлечённой в работу молодёжных общественных организаций (информирование, обмен практиками работы с молодежью, содействие развитие добровольческого молодежного движения).</w:t>
      </w:r>
    </w:p>
    <w:p>
      <w:pPr>
        <w:pStyle w:val="Normal"/>
        <w:spacing w:before="0" w:after="0"/>
        <w:ind w:firstLine="709"/>
        <w:contextualSpacing/>
        <w:jc w:val="both"/>
        <w:rPr>
          <w:rFonts w:cs="Times New Roman"/>
          <w:sz w:val="28"/>
          <w:szCs w:val="28"/>
        </w:rPr>
      </w:pPr>
      <w:r>
        <w:rPr>
          <w:rFonts w:cs="Times New Roman"/>
          <w:sz w:val="28"/>
          <w:szCs w:val="28"/>
        </w:rPr>
        <w:t>2. Увеличение доли культурно-массовых мероприятий с участием молодёжи категории 19-30 лет (проведение молодежных конкурсов и фестивалей).</w:t>
      </w:r>
    </w:p>
    <w:p>
      <w:pPr>
        <w:pStyle w:val="Normal"/>
        <w:spacing w:before="0" w:after="0"/>
        <w:ind w:firstLine="709"/>
        <w:contextualSpacing/>
        <w:jc w:val="both"/>
        <w:rPr>
          <w:rFonts w:cs="Times New Roman"/>
          <w:sz w:val="28"/>
          <w:szCs w:val="28"/>
        </w:rPr>
      </w:pPr>
      <w:r>
        <w:rPr>
          <w:rFonts w:cs="Times New Roman"/>
          <w:sz w:val="28"/>
          <w:szCs w:val="28"/>
        </w:rPr>
        <w:t>3. Выстраивание системы работы с молодёжью, вовлечения данной категории граждан в общественно полезную деятельность, вопросов развития Тереньгульского  района.</w:t>
      </w:r>
    </w:p>
    <w:p>
      <w:pPr>
        <w:pStyle w:val="Normal"/>
        <w:spacing w:before="0" w:after="0"/>
        <w:ind w:firstLine="709"/>
        <w:contextualSpacing/>
        <w:jc w:val="both"/>
        <w:rPr>
          <w:rFonts w:cs="Times New Roman"/>
          <w:sz w:val="28"/>
          <w:szCs w:val="28"/>
        </w:rPr>
      </w:pPr>
      <w:r>
        <w:rPr>
          <w:rFonts w:cs="Times New Roman"/>
          <w:sz w:val="28"/>
          <w:szCs w:val="28"/>
        </w:rPr>
        <w:t xml:space="preserve">4. Создание условий для организации досуговой деятельности молодёжи категории 19-30 лет: </w:t>
      </w:r>
    </w:p>
    <w:p>
      <w:pPr>
        <w:pStyle w:val="Normal"/>
        <w:spacing w:before="0" w:after="0"/>
        <w:ind w:firstLine="709"/>
        <w:contextualSpacing/>
        <w:jc w:val="both"/>
        <w:rPr>
          <w:rFonts w:cs="Times New Roman"/>
          <w:sz w:val="28"/>
          <w:szCs w:val="28"/>
        </w:rPr>
      </w:pPr>
      <w:r>
        <w:rPr>
          <w:rFonts w:cs="Times New Roman"/>
          <w:sz w:val="28"/>
          <w:szCs w:val="28"/>
        </w:rPr>
        <w:t>- строительство здания и организация деятельности Молодёжного центра;</w:t>
      </w:r>
    </w:p>
    <w:p>
      <w:pPr>
        <w:pStyle w:val="Normal"/>
        <w:spacing w:before="0" w:after="0"/>
        <w:ind w:firstLine="709"/>
        <w:contextualSpacing/>
        <w:jc w:val="both"/>
        <w:rPr>
          <w:rFonts w:cs="Times New Roman"/>
          <w:sz w:val="28"/>
          <w:szCs w:val="28"/>
        </w:rPr>
      </w:pPr>
      <w:r>
        <w:rPr>
          <w:rFonts w:cs="Times New Roman"/>
          <w:sz w:val="28"/>
          <w:szCs w:val="28"/>
        </w:rPr>
        <w:t>- содействие в организации и проведении тематических выставок, экспозиций, конкурсов, проведение спортивных, культурно-массовых мероприятий, туристических слётов, выставок.</w:t>
      </w:r>
    </w:p>
    <w:p>
      <w:pPr>
        <w:pStyle w:val="Normal"/>
        <w:spacing w:before="0" w:after="0"/>
        <w:ind w:firstLine="709"/>
        <w:contextualSpacing/>
        <w:jc w:val="both"/>
        <w:rPr>
          <w:rFonts w:cs="Times New Roman"/>
          <w:sz w:val="28"/>
          <w:szCs w:val="28"/>
        </w:rPr>
      </w:pPr>
      <w:r>
        <w:rPr>
          <w:rFonts w:cs="Times New Roman"/>
          <w:sz w:val="28"/>
          <w:szCs w:val="28"/>
        </w:rPr>
        <w:t>5. Сопровождение, содействие молодёжи в трудоустройстве в организациях  Тереньгульского района после окончания обучения. Организация временной и сезонной занятости, развитие молодёжного предпринимательства.</w:t>
      </w:r>
    </w:p>
    <w:p>
      <w:pPr>
        <w:pStyle w:val="Normal"/>
        <w:spacing w:before="0" w:after="0"/>
        <w:ind w:firstLine="709"/>
        <w:contextualSpacing/>
        <w:jc w:val="both"/>
        <w:rPr>
          <w:rFonts w:cs="Times New Roman"/>
          <w:sz w:val="28"/>
          <w:szCs w:val="28"/>
        </w:rPr>
      </w:pPr>
      <w:r>
        <w:rPr>
          <w:rFonts w:cs="Times New Roman"/>
          <w:sz w:val="28"/>
          <w:szCs w:val="28"/>
        </w:rPr>
        <w:t>6. Разработка программы «Обеспечение кадрами социальной сферы», предусматривающей дополнительные меры поддержки молодых специалистов в Тереньгульском районе:</w:t>
      </w:r>
    </w:p>
    <w:p>
      <w:pPr>
        <w:pStyle w:val="Normal"/>
        <w:spacing w:before="0" w:after="0"/>
        <w:ind w:firstLine="709"/>
        <w:contextualSpacing/>
        <w:jc w:val="both"/>
        <w:rPr>
          <w:rFonts w:cs="Times New Roman"/>
          <w:sz w:val="28"/>
          <w:szCs w:val="28"/>
        </w:rPr>
      </w:pPr>
      <w:r>
        <w:rPr>
          <w:rFonts w:cs="Times New Roman"/>
          <w:sz w:val="28"/>
          <w:szCs w:val="28"/>
        </w:rPr>
        <w:t>- льготная ипотека для молодых специалистов и молодых семей;</w:t>
      </w:r>
    </w:p>
    <w:p>
      <w:pPr>
        <w:pStyle w:val="Normal"/>
        <w:spacing w:before="0" w:after="0"/>
        <w:ind w:firstLine="709"/>
        <w:contextualSpacing/>
        <w:jc w:val="both"/>
        <w:rPr>
          <w:rFonts w:cs="Times New Roman"/>
          <w:sz w:val="28"/>
          <w:szCs w:val="28"/>
        </w:rPr>
      </w:pPr>
      <w:r>
        <w:rPr>
          <w:rFonts w:cs="Times New Roman"/>
          <w:sz w:val="28"/>
          <w:szCs w:val="28"/>
        </w:rPr>
        <w:t>- строительство Дома молодёжи;</w:t>
      </w:r>
    </w:p>
    <w:p>
      <w:pPr>
        <w:pStyle w:val="Normal"/>
        <w:spacing w:before="0" w:after="0"/>
        <w:ind w:firstLine="709"/>
        <w:contextualSpacing/>
        <w:jc w:val="both"/>
        <w:rPr>
          <w:rFonts w:cs="Times New Roman"/>
          <w:sz w:val="28"/>
          <w:szCs w:val="28"/>
        </w:rPr>
      </w:pPr>
      <w:r>
        <w:rPr>
          <w:rFonts w:cs="Times New Roman"/>
          <w:sz w:val="28"/>
          <w:szCs w:val="28"/>
        </w:rPr>
        <w:t>- дополнительные меры материального стимулирования (подъёмные) для специалистов социальной сферы по аналогии с программой «Земский доктор», «Земский фельдшер».</w:t>
      </w:r>
    </w:p>
    <w:p>
      <w:pPr>
        <w:pStyle w:val="Normal"/>
        <w:suppressAutoHyphens w:val="false"/>
        <w:spacing w:lineRule="auto" w:line="276" w:before="0" w:after="200"/>
        <w:rPr>
          <w:rFonts w:cs="Times New Roman"/>
          <w:sz w:val="28"/>
          <w:szCs w:val="28"/>
        </w:rPr>
      </w:pPr>
      <w:r>
        <w:rPr>
          <w:rFonts w:cs="Times New Roman"/>
          <w:sz w:val="28"/>
          <w:szCs w:val="28"/>
        </w:rPr>
      </w:r>
      <w:r>
        <w:br w:type="page"/>
      </w:r>
    </w:p>
    <w:p>
      <w:pPr>
        <w:pStyle w:val="01"/>
        <w:rPr/>
      </w:pPr>
      <w:bookmarkStart w:id="49" w:name="_Toc4405014"/>
      <w:r>
        <w:rPr/>
        <w:t>2.2. РАЗВИТИЕ ЭКОНОМИКИ, СОЗДАНИЕ БЛАГОПРИЯТНОГО ИНВЕСТИЦИОННОГО И ПРЕДПРИНИМАТЕЛЬСКОГО КЛИМАТА</w:t>
      </w:r>
      <w:bookmarkEnd w:id="49"/>
    </w:p>
    <w:p>
      <w:pPr>
        <w:pStyle w:val="01"/>
        <w:rPr/>
      </w:pPr>
      <w:r>
        <w:rPr/>
      </w:r>
    </w:p>
    <w:tbl>
      <w:tblPr>
        <w:tblStyle w:val="af1"/>
        <w:tblW w:w="9606" w:type="dxa"/>
        <w:jc w:val="left"/>
        <w:tblInd w:w="0" w:type="dxa"/>
        <w:tblCellMar>
          <w:top w:w="0" w:type="dxa"/>
          <w:left w:w="108" w:type="dxa"/>
          <w:bottom w:w="0" w:type="dxa"/>
          <w:right w:w="108" w:type="dxa"/>
        </w:tblCellMar>
        <w:tblLook w:noVBand="1" w:val="04a0" w:noHBand="0" w:lastColumn="0" w:firstColumn="1" w:lastRow="0" w:firstRow="1"/>
      </w:tblPr>
      <w:tblGrid>
        <w:gridCol w:w="815"/>
        <w:gridCol w:w="4395"/>
        <w:gridCol w:w="4396"/>
      </w:tblGrid>
      <w:tr>
        <w:trPr/>
        <w:tc>
          <w:tcPr>
            <w:tcW w:w="815" w:type="dxa"/>
            <w:vMerge w:val="restart"/>
            <w:tcBorders/>
            <w:shd w:fill="auto" w:val="clear"/>
            <w:textDirection w:val="btLr"/>
            <w:vAlign w:val="center"/>
          </w:tcPr>
          <w:p>
            <w:pPr>
              <w:pStyle w:val="Normal"/>
              <w:spacing w:lineRule="auto" w:line="228" w:before="0" w:after="0"/>
              <w:ind w:left="113" w:right="113" w:hanging="0"/>
              <w:contextualSpacing/>
              <w:jc w:val="center"/>
              <w:rPr>
                <w:rFonts w:eastAsia="Calibri" w:cs="Times New Roman"/>
                <w:i/>
                <w:i/>
              </w:rPr>
            </w:pPr>
            <w:r>
              <w:rPr>
                <w:rFonts w:eastAsia="Calibri" w:cs="Times New Roman"/>
                <w:i/>
              </w:rPr>
              <w:t>Промышленность</w:t>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«Сильные» стороны</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«Слабые» стороны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 xml:space="preserve">Стабильные темпы роста отгрузки товаров промышленного производства </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Наличие сырьевой базы (кварцевый песок, строительный песок и камень, мел, диатомит)</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Наличие автомобильной трассы федерального значения Сызрань-Цивильск (М5 «Москва-Челябинск») и железнодорожной ветки Ульяновск-Сызрань</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Наличие инвестиционных площадок для промышленных производств</w:t>
            </w:r>
          </w:p>
        </w:tc>
        <w:tc>
          <w:tcPr>
            <w:tcW w:w="4396" w:type="dxa"/>
            <w:tcBorders/>
            <w:shd w:fill="auto" w:val="clear"/>
          </w:tcPr>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Промышленный сектор экономики представлен предприятиями малыми формами бизнеса</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Часть промышленных площадок не обеспечена инженерной инфраструктурой</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Низкий уровень оплаты труда в большинстве промышленных предприятий</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Отсутствие муниципальной программы для содействия развития промышленных предприятий</w:t>
            </w:r>
          </w:p>
        </w:tc>
      </w:tr>
      <w:tr>
        <w:trPr/>
        <w:tc>
          <w:tcPr>
            <w:tcW w:w="815" w:type="dxa"/>
            <w:vMerge w:val="continue"/>
            <w:tcBorders/>
            <w:shd w:fill="auto" w:val="clear"/>
          </w:tcPr>
          <w:p>
            <w:pPr>
              <w:pStyle w:val="Normal"/>
              <w:spacing w:lineRule="auto" w:line="228" w:before="0" w:after="0"/>
              <w:contextualSpacing/>
              <w:jc w:val="center"/>
              <w:rPr>
                <w:rFonts w:eastAsia="Calibri" w:cs="Times New Roman"/>
                <w:b/>
                <w:b/>
              </w:rPr>
            </w:pPr>
            <w:r>
              <w:rPr>
                <w:rFonts w:eastAsia="Calibri" w:cs="Times New Roman"/>
                <w:b/>
              </w:rPr>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«Возможности»</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«Угрозы»</w:t>
            </w:r>
          </w:p>
        </w:tc>
      </w:tr>
      <w:tr>
        <w:trPr/>
        <w:tc>
          <w:tcPr>
            <w:tcW w:w="815" w:type="dxa"/>
            <w:vMerge w:val="continue"/>
            <w:tcBorders/>
            <w:shd w:fill="auto" w:val="clear"/>
          </w:tcPr>
          <w:p>
            <w:pPr>
              <w:pStyle w:val="Normal"/>
              <w:spacing w:lineRule="auto" w:line="228" w:before="0" w:after="0"/>
              <w:contextualSpacing/>
              <w:rPr>
                <w:rFonts w:eastAsia="Calibri" w:cs="Times New Roman"/>
              </w:rPr>
            </w:pPr>
            <w:r>
              <w:rPr>
                <w:rFonts w:eastAsia="Calibri" w:cs="Times New Roman"/>
              </w:rPr>
            </w:r>
          </w:p>
        </w:tc>
        <w:tc>
          <w:tcPr>
            <w:tcW w:w="4395" w:type="dxa"/>
            <w:tcBorders/>
            <w:shd w:fill="auto" w:val="clear"/>
          </w:tcPr>
          <w:p>
            <w:pPr>
              <w:pStyle w:val="ListParagraph"/>
              <w:numPr>
                <w:ilvl w:val="0"/>
                <w:numId w:val="46"/>
              </w:numPr>
              <w:tabs>
                <w:tab w:val="clear" w:pos="708"/>
                <w:tab w:val="left" w:pos="317" w:leader="none"/>
              </w:tabs>
              <w:suppressAutoHyphens w:val="false"/>
              <w:spacing w:lineRule="auto" w:line="240" w:before="0" w:after="0"/>
              <w:ind w:left="317" w:hanging="283"/>
              <w:contextualSpacing/>
              <w:jc w:val="both"/>
              <w:rPr/>
            </w:pPr>
            <w:r>
              <w:rPr/>
              <w:t>Разработка месторождений и добыча полезных ископаемых</w:t>
            </w:r>
          </w:p>
          <w:p>
            <w:pPr>
              <w:pStyle w:val="ListParagraph"/>
              <w:numPr>
                <w:ilvl w:val="0"/>
                <w:numId w:val="46"/>
              </w:numPr>
              <w:tabs>
                <w:tab w:val="clear" w:pos="708"/>
                <w:tab w:val="left" w:pos="317" w:leader="none"/>
              </w:tabs>
              <w:suppressAutoHyphens w:val="false"/>
              <w:spacing w:lineRule="auto" w:line="240" w:before="0" w:after="0"/>
              <w:ind w:left="317" w:hanging="283"/>
              <w:contextualSpacing/>
              <w:jc w:val="both"/>
              <w:rPr>
                <w:rFonts w:cs="Times New Roman"/>
              </w:rPr>
            </w:pPr>
            <w:r>
              <w:rPr>
                <w:rFonts w:cs="Times New Roman"/>
              </w:rPr>
              <w:t xml:space="preserve"> </w:t>
            </w:r>
            <w:r>
              <w:rPr>
                <w:rFonts w:cs="Times New Roman"/>
              </w:rPr>
              <w:t>Создание и развитие кластера добывающей промышленности</w:t>
            </w:r>
          </w:p>
          <w:p>
            <w:pPr>
              <w:pStyle w:val="ListParagraph"/>
              <w:numPr>
                <w:ilvl w:val="0"/>
                <w:numId w:val="46"/>
              </w:numPr>
              <w:tabs>
                <w:tab w:val="clear" w:pos="708"/>
                <w:tab w:val="left" w:pos="317" w:leader="none"/>
              </w:tabs>
              <w:suppressAutoHyphens w:val="false"/>
              <w:spacing w:lineRule="auto" w:line="240" w:before="0" w:after="0"/>
              <w:ind w:left="317" w:hanging="283"/>
              <w:contextualSpacing/>
              <w:jc w:val="both"/>
              <w:rPr>
                <w:rFonts w:cs="Times New Roman"/>
              </w:rPr>
            </w:pPr>
            <w:r>
              <w:rPr>
                <w:rFonts w:cs="Times New Roman"/>
              </w:rPr>
              <w:t>Развитие промышленного комплекса за счёт переработки полезных ископаемых, т.е. создание предприятий строительной индустрии (строительство заводов по производству листового стекла, цемента, извести и побелочного материала, гипса, силикатного кирпича)</w:t>
            </w:r>
          </w:p>
          <w:p>
            <w:pPr>
              <w:pStyle w:val="ListParagraph"/>
              <w:numPr>
                <w:ilvl w:val="0"/>
                <w:numId w:val="46"/>
              </w:numPr>
              <w:tabs>
                <w:tab w:val="clear" w:pos="708"/>
                <w:tab w:val="left" w:pos="317" w:leader="none"/>
              </w:tabs>
              <w:suppressAutoHyphens w:val="false"/>
              <w:spacing w:lineRule="auto" w:line="240" w:before="0" w:after="0"/>
              <w:ind w:left="317" w:hanging="283"/>
              <w:contextualSpacing/>
              <w:jc w:val="both"/>
              <w:rPr>
                <w:rFonts w:cs="Times New Roman"/>
              </w:rPr>
            </w:pPr>
            <w:r>
              <w:rPr>
                <w:rFonts w:cs="Times New Roman"/>
              </w:rPr>
              <w:t>Развитие рынка сбыта производимой конкурентоспособной продукции на территории Тереньгульского района, Ульяновской области и за её пределами</w:t>
            </w:r>
          </w:p>
        </w:tc>
        <w:tc>
          <w:tcPr>
            <w:tcW w:w="4396" w:type="dxa"/>
            <w:tcBorders/>
            <w:shd w:fill="auto" w:val="clear"/>
          </w:tcPr>
          <w:p>
            <w:pPr>
              <w:pStyle w:val="ListParagraph"/>
              <w:numPr>
                <w:ilvl w:val="0"/>
                <w:numId w:val="46"/>
              </w:numPr>
              <w:tabs>
                <w:tab w:val="clear" w:pos="708"/>
                <w:tab w:val="left" w:pos="318" w:leader="none"/>
              </w:tabs>
              <w:suppressAutoHyphens w:val="false"/>
              <w:spacing w:lineRule="auto" w:line="240" w:before="0" w:after="0"/>
              <w:ind w:left="318" w:hanging="284"/>
              <w:contextualSpacing/>
              <w:rPr>
                <w:rFonts w:cs="Times New Roman"/>
              </w:rPr>
            </w:pPr>
            <w:r>
              <w:rPr>
                <w:rFonts w:cs="Times New Roman"/>
              </w:rPr>
              <w:t>Ухудшение экологической ситуации в связи с развитием промышленного комплекса</w:t>
            </w:r>
          </w:p>
          <w:p>
            <w:pPr>
              <w:pStyle w:val="ListParagraph"/>
              <w:numPr>
                <w:ilvl w:val="0"/>
                <w:numId w:val="46"/>
              </w:numPr>
              <w:tabs>
                <w:tab w:val="clear" w:pos="708"/>
                <w:tab w:val="left" w:pos="318" w:leader="none"/>
              </w:tabs>
              <w:suppressAutoHyphens w:val="false"/>
              <w:spacing w:lineRule="auto" w:line="240" w:before="0" w:after="0"/>
              <w:ind w:left="318" w:hanging="284"/>
              <w:contextualSpacing/>
              <w:jc w:val="both"/>
              <w:rPr>
                <w:rFonts w:cs="Times New Roman"/>
              </w:rPr>
            </w:pPr>
            <w:r>
              <w:rPr>
                <w:rFonts w:cs="Times New Roman"/>
              </w:rPr>
              <w:t xml:space="preserve">Износ основных фондов промышленных предприятий </w:t>
            </w:r>
          </w:p>
          <w:p>
            <w:pPr>
              <w:pStyle w:val="ListParagraph"/>
              <w:numPr>
                <w:ilvl w:val="0"/>
                <w:numId w:val="46"/>
              </w:numPr>
              <w:tabs>
                <w:tab w:val="clear" w:pos="708"/>
                <w:tab w:val="left" w:pos="318" w:leader="none"/>
              </w:tabs>
              <w:suppressAutoHyphens w:val="false"/>
              <w:spacing w:lineRule="auto" w:line="240" w:before="0" w:after="0"/>
              <w:ind w:left="318" w:hanging="284"/>
              <w:contextualSpacing/>
              <w:jc w:val="both"/>
              <w:rPr>
                <w:rFonts w:cs="Times New Roman"/>
              </w:rPr>
            </w:pPr>
            <w:r>
              <w:rPr>
                <w:rFonts w:cs="Times New Roman"/>
              </w:rPr>
              <w:t>Сокращение инвестиционной активности предприятий из-за отсутствия необходимой инженерной инфраструктуры на существующих промышленных площадках</w:t>
            </w:r>
          </w:p>
          <w:p>
            <w:pPr>
              <w:pStyle w:val="ListParagraph"/>
              <w:numPr>
                <w:ilvl w:val="0"/>
                <w:numId w:val="46"/>
              </w:numPr>
              <w:tabs>
                <w:tab w:val="clear" w:pos="708"/>
                <w:tab w:val="left" w:pos="318" w:leader="none"/>
              </w:tabs>
              <w:suppressAutoHyphens w:val="false"/>
              <w:spacing w:lineRule="auto" w:line="240" w:before="0" w:after="0"/>
              <w:ind w:left="318" w:hanging="284"/>
              <w:contextualSpacing/>
              <w:jc w:val="both"/>
              <w:rPr>
                <w:rFonts w:cs="Times New Roman"/>
              </w:rPr>
            </w:pPr>
            <w:r>
              <w:rPr>
                <w:rFonts w:cs="Times New Roman"/>
              </w:rPr>
              <w:t>Усиление конкуренции со стороны соседних районов</w:t>
            </w:r>
          </w:p>
          <w:p>
            <w:pPr>
              <w:pStyle w:val="Normal"/>
              <w:tabs>
                <w:tab w:val="clear" w:pos="708"/>
                <w:tab w:val="left" w:pos="317" w:leader="none"/>
              </w:tabs>
              <w:spacing w:lineRule="auto" w:line="240" w:before="0" w:after="0"/>
              <w:ind w:left="176" w:hanging="142"/>
              <w:jc w:val="both"/>
              <w:rPr>
                <w:rFonts w:cs="Times New Roman"/>
              </w:rPr>
            </w:pPr>
            <w:r>
              <w:rPr>
                <w:rFonts w:cs="Times New Roman"/>
              </w:rPr>
            </w:r>
          </w:p>
        </w:tc>
      </w:tr>
      <w:tr>
        <w:trPr/>
        <w:tc>
          <w:tcPr>
            <w:tcW w:w="9606" w:type="dxa"/>
            <w:gridSpan w:val="3"/>
            <w:tcBorders/>
            <w:shd w:color="auto" w:fill="618096" w:themeFill="accent4" w:themeFillShade="bf" w:val="clear"/>
          </w:tcPr>
          <w:p>
            <w:pPr>
              <w:pStyle w:val="Normal"/>
              <w:spacing w:lineRule="auto" w:line="252" w:before="0" w:after="0"/>
              <w:rPr>
                <w:rFonts w:eastAsia="Calibri" w:cs="Times New Roman"/>
              </w:rPr>
            </w:pPr>
            <w:r>
              <w:rPr>
                <w:rFonts w:eastAsia="Calibri" w:cs="Times New Roman"/>
              </w:rPr>
            </w:r>
          </w:p>
        </w:tc>
      </w:tr>
      <w:tr>
        <w:trPr/>
        <w:tc>
          <w:tcPr>
            <w:tcW w:w="815" w:type="dxa"/>
            <w:vMerge w:val="restart"/>
            <w:tcBorders/>
            <w:shd w:fill="auto" w:val="clear"/>
            <w:textDirection w:val="btLr"/>
            <w:vAlign w:val="center"/>
          </w:tcPr>
          <w:p>
            <w:pPr>
              <w:pStyle w:val="Normal"/>
              <w:spacing w:lineRule="auto" w:line="228" w:before="0" w:after="0"/>
              <w:ind w:left="113" w:right="113" w:hanging="0"/>
              <w:contextualSpacing/>
              <w:jc w:val="center"/>
              <w:rPr>
                <w:rFonts w:eastAsia="Calibri" w:cs="Times New Roman"/>
                <w:i/>
                <w:i/>
              </w:rPr>
            </w:pPr>
            <w:r>
              <w:rPr>
                <w:rFonts w:eastAsia="Calibri" w:cs="Times New Roman"/>
                <w:i/>
              </w:rPr>
              <w:t>Строительство</w:t>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«Сильные» стороны</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«Слабые» стороны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40"/>
              </w:numPr>
              <w:tabs>
                <w:tab w:val="clear" w:pos="708"/>
                <w:tab w:val="left" w:pos="317" w:leader="none"/>
              </w:tabs>
              <w:suppressAutoHyphens w:val="false"/>
              <w:spacing w:lineRule="auto" w:line="240" w:before="0" w:after="0"/>
              <w:ind w:left="317" w:hanging="317"/>
              <w:contextualSpacing/>
              <w:jc w:val="both"/>
              <w:rPr>
                <w:rFonts w:cs="Times New Roman"/>
              </w:rPr>
            </w:pPr>
            <w:r>
              <w:rPr>
                <w:rFonts w:cs="Times New Roman"/>
              </w:rPr>
              <w:t>Высокие показатели ввода жилья</w:t>
            </w:r>
          </w:p>
          <w:p>
            <w:pPr>
              <w:pStyle w:val="ListParagraph"/>
              <w:numPr>
                <w:ilvl w:val="0"/>
                <w:numId w:val="40"/>
              </w:numPr>
              <w:tabs>
                <w:tab w:val="clear" w:pos="708"/>
                <w:tab w:val="left" w:pos="317" w:leader="none"/>
              </w:tabs>
              <w:suppressAutoHyphens w:val="false"/>
              <w:spacing w:lineRule="auto" w:line="240" w:before="0" w:after="0"/>
              <w:ind w:left="317" w:hanging="317"/>
              <w:contextualSpacing/>
              <w:jc w:val="both"/>
              <w:rPr>
                <w:rFonts w:cs="Times New Roman"/>
                <w:sz w:val="28"/>
                <w:szCs w:val="28"/>
              </w:rPr>
            </w:pPr>
            <w:r>
              <w:rPr>
                <w:rFonts w:cs="Times New Roman"/>
              </w:rPr>
              <w:t>Лидер среди муниципальных образований Ульяновской области по вводу в действие жилых домов в расчёте на 1000 человек населения</w:t>
            </w:r>
          </w:p>
          <w:p>
            <w:pPr>
              <w:pStyle w:val="ListParagraph"/>
              <w:numPr>
                <w:ilvl w:val="0"/>
                <w:numId w:val="40"/>
              </w:numPr>
              <w:tabs>
                <w:tab w:val="clear" w:pos="708"/>
                <w:tab w:val="left" w:pos="317" w:leader="none"/>
              </w:tabs>
              <w:suppressAutoHyphens w:val="false"/>
              <w:spacing w:lineRule="auto" w:line="240" w:before="0" w:after="0"/>
              <w:ind w:left="317" w:hanging="317"/>
              <w:contextualSpacing/>
              <w:jc w:val="both"/>
              <w:rPr>
                <w:rFonts w:cs="Times New Roman"/>
                <w:sz w:val="28"/>
                <w:szCs w:val="28"/>
              </w:rPr>
            </w:pPr>
            <w:r>
              <w:rPr>
                <w:rFonts w:cs="Times New Roman"/>
              </w:rPr>
              <w:t>Наличие земельных участков, определённых под ИЖС</w:t>
            </w:r>
          </w:p>
          <w:p>
            <w:pPr>
              <w:pStyle w:val="Normal"/>
              <w:spacing w:lineRule="auto" w:line="240" w:before="0" w:after="0"/>
              <w:jc w:val="both"/>
              <w:rPr>
                <w:rFonts w:cs="Times New Roman"/>
                <w:sz w:val="28"/>
                <w:szCs w:val="28"/>
              </w:rPr>
            </w:pPr>
            <w:r>
              <w:rPr>
                <w:rFonts w:cs="Times New Roman"/>
                <w:sz w:val="28"/>
                <w:szCs w:val="28"/>
              </w:rPr>
            </w:r>
          </w:p>
        </w:tc>
        <w:tc>
          <w:tcPr>
            <w:tcW w:w="4396" w:type="dxa"/>
            <w:tcBorders/>
            <w:shd w:fill="auto" w:val="clear"/>
          </w:tcPr>
          <w:p>
            <w:pPr>
              <w:pStyle w:val="17"/>
              <w:numPr>
                <w:ilvl w:val="0"/>
                <w:numId w:val="41"/>
              </w:numPr>
              <w:tabs>
                <w:tab w:val="clear" w:pos="708"/>
                <w:tab w:val="left" w:pos="226" w:leader="none"/>
              </w:tabs>
              <w:spacing w:lineRule="auto" w:line="240" w:before="0" w:after="0"/>
              <w:ind w:left="176" w:hanging="176"/>
              <w:jc w:val="both"/>
              <w:rPr>
                <w:color w:val="auto"/>
              </w:rPr>
            </w:pPr>
            <w:r>
              <w:rPr>
                <w:color w:val="auto"/>
              </w:rPr>
              <w:t>Наличие ветхого жилищного фонда</w:t>
            </w:r>
          </w:p>
          <w:p>
            <w:pPr>
              <w:pStyle w:val="17"/>
              <w:numPr>
                <w:ilvl w:val="0"/>
                <w:numId w:val="41"/>
              </w:numPr>
              <w:tabs>
                <w:tab w:val="clear" w:pos="708"/>
                <w:tab w:val="left" w:pos="226" w:leader="none"/>
              </w:tabs>
              <w:spacing w:lineRule="auto" w:line="240" w:before="0" w:after="0"/>
              <w:ind w:left="176" w:hanging="176"/>
              <w:jc w:val="both"/>
              <w:rPr>
                <w:color w:val="auto"/>
              </w:rPr>
            </w:pPr>
            <w:r>
              <w:rPr>
                <w:color w:val="auto"/>
              </w:rPr>
              <w:t>Низкий спрос на жилье</w:t>
            </w:r>
          </w:p>
          <w:p>
            <w:pPr>
              <w:pStyle w:val="17"/>
              <w:numPr>
                <w:ilvl w:val="0"/>
                <w:numId w:val="41"/>
              </w:numPr>
              <w:tabs>
                <w:tab w:val="clear" w:pos="708"/>
                <w:tab w:val="left" w:pos="226" w:leader="none"/>
              </w:tabs>
              <w:spacing w:lineRule="auto" w:line="240" w:before="0" w:after="0"/>
              <w:ind w:left="176" w:hanging="176"/>
              <w:jc w:val="both"/>
              <w:rPr>
                <w:color w:val="auto"/>
              </w:rPr>
            </w:pPr>
            <w:r>
              <w:rPr/>
              <w:t>Низкая покупательская активности населения</w:t>
            </w:r>
          </w:p>
          <w:p>
            <w:pPr>
              <w:pStyle w:val="ListParagraph"/>
              <w:numPr>
                <w:ilvl w:val="0"/>
                <w:numId w:val="41"/>
              </w:numPr>
              <w:tabs>
                <w:tab w:val="clear" w:pos="708"/>
                <w:tab w:val="left" w:pos="226" w:leader="none"/>
              </w:tabs>
              <w:suppressAutoHyphens w:val="false"/>
              <w:spacing w:lineRule="auto" w:line="240" w:before="0" w:after="0"/>
              <w:ind w:left="176" w:hanging="176"/>
              <w:contextualSpacing/>
              <w:jc w:val="both"/>
              <w:rPr>
                <w:rFonts w:cs="Times New Roman"/>
              </w:rPr>
            </w:pPr>
            <w:r>
              <w:rPr>
                <w:rFonts w:cs="Times New Roman"/>
              </w:rPr>
              <w:t>Сокращение числа семей, получивших жилые помещения и улучшивших жилищные условия</w:t>
            </w:r>
          </w:p>
          <w:p>
            <w:pPr>
              <w:pStyle w:val="ListParagraph"/>
              <w:numPr>
                <w:ilvl w:val="0"/>
                <w:numId w:val="41"/>
              </w:numPr>
              <w:tabs>
                <w:tab w:val="clear" w:pos="708"/>
                <w:tab w:val="left" w:pos="226" w:leader="none"/>
              </w:tabs>
              <w:suppressAutoHyphens w:val="false"/>
              <w:spacing w:lineRule="auto" w:line="240" w:before="0" w:after="0"/>
              <w:ind w:left="176" w:hanging="176"/>
              <w:contextualSpacing/>
              <w:jc w:val="both"/>
              <w:rPr>
                <w:rFonts w:cs="Times New Roman"/>
              </w:rPr>
            </w:pPr>
            <w:r>
              <w:rPr>
                <w:rFonts w:cs="Times New Roman"/>
              </w:rPr>
              <w:t>Неактуализированная градостроительная документация района</w:t>
            </w:r>
          </w:p>
          <w:p>
            <w:pPr>
              <w:pStyle w:val="ListParagraph"/>
              <w:numPr>
                <w:ilvl w:val="0"/>
                <w:numId w:val="41"/>
              </w:numPr>
              <w:tabs>
                <w:tab w:val="clear" w:pos="708"/>
                <w:tab w:val="left" w:pos="226" w:leader="none"/>
                <w:tab w:val="left" w:pos="318" w:leader="none"/>
              </w:tabs>
              <w:suppressAutoHyphens w:val="false"/>
              <w:spacing w:lineRule="auto" w:line="240" w:before="0" w:after="0"/>
              <w:ind w:left="176" w:hanging="176"/>
              <w:contextualSpacing/>
              <w:jc w:val="both"/>
              <w:rPr>
                <w:rFonts w:cs="Times New Roman"/>
                <w:sz w:val="28"/>
                <w:szCs w:val="28"/>
              </w:rPr>
            </w:pPr>
            <w:r>
              <w:rPr>
                <w:rFonts w:cs="Times New Roman"/>
              </w:rPr>
              <w:t>Наличие земельных участков, определенных под ИЖС, не обеспеченных необходимой инженерной инфраструктурой</w:t>
            </w:r>
          </w:p>
          <w:p>
            <w:pPr>
              <w:pStyle w:val="ListParagraph"/>
              <w:tabs>
                <w:tab w:val="clear" w:pos="708"/>
                <w:tab w:val="left" w:pos="226" w:leader="none"/>
                <w:tab w:val="left" w:pos="318" w:leader="none"/>
              </w:tabs>
              <w:suppressAutoHyphens w:val="false"/>
              <w:spacing w:lineRule="auto" w:line="240" w:before="0" w:after="0"/>
              <w:ind w:left="176" w:hanging="0"/>
              <w:contextualSpacing/>
              <w:jc w:val="both"/>
              <w:rPr>
                <w:rFonts w:cs="Times New Roman"/>
                <w:sz w:val="28"/>
                <w:szCs w:val="28"/>
              </w:rPr>
            </w:pPr>
            <w:r>
              <w:rPr>
                <w:rFonts w:cs="Times New Roman"/>
                <w:sz w:val="28"/>
                <w:szCs w:val="28"/>
              </w:rPr>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color="auto" w:fill="BDCBD5" w:themeFill="accent4" w:themeFillTint="99" w:val="clear"/>
          </w:tcPr>
          <w:p>
            <w:pPr>
              <w:pStyle w:val="Normal"/>
              <w:spacing w:lineRule="auto" w:line="240" w:before="0" w:after="0"/>
              <w:contextualSpacing/>
              <w:jc w:val="center"/>
              <w:rPr>
                <w:rFonts w:eastAsia="Calibri" w:cs="Times New Roman"/>
                <w:b/>
                <w:b/>
              </w:rPr>
            </w:pPr>
            <w:r>
              <w:rPr>
                <w:rFonts w:eastAsia="Calibri" w:cs="Times New Roman"/>
                <w:b/>
              </w:rPr>
              <w:t>«Возможности»</w:t>
            </w:r>
          </w:p>
        </w:tc>
        <w:tc>
          <w:tcPr>
            <w:tcW w:w="4396" w:type="dxa"/>
            <w:tcBorders/>
            <w:shd w:color="auto" w:fill="BDCBD5" w:themeFill="accent4" w:themeFillTint="99" w:val="clear"/>
          </w:tcPr>
          <w:p>
            <w:pPr>
              <w:pStyle w:val="Normal"/>
              <w:spacing w:lineRule="auto" w:line="240" w:before="0" w:after="0"/>
              <w:contextualSpacing/>
              <w:jc w:val="center"/>
              <w:rPr>
                <w:rFonts w:eastAsia="Calibri" w:cs="Times New Roman"/>
                <w:b/>
                <w:b/>
              </w:rPr>
            </w:pPr>
            <w:r>
              <w:rPr>
                <w:rFonts w:eastAsia="Calibri" w:cs="Times New Roman"/>
                <w:b/>
              </w:rPr>
              <w:t>«Угрозы»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42"/>
              </w:numPr>
              <w:tabs>
                <w:tab w:val="clear" w:pos="708"/>
                <w:tab w:val="left" w:pos="317" w:leader="none"/>
              </w:tabs>
              <w:suppressAutoHyphens w:val="false"/>
              <w:spacing w:lineRule="auto" w:line="240" w:before="0" w:after="0"/>
              <w:ind w:left="317" w:hanging="283"/>
              <w:contextualSpacing/>
              <w:jc w:val="both"/>
              <w:rPr>
                <w:rFonts w:cs="Times New Roman"/>
              </w:rPr>
            </w:pPr>
            <w:r>
              <w:rPr>
                <w:rFonts w:cs="Times New Roman"/>
              </w:rPr>
              <w:t>Создание государственной информационной системы обеспечения градостроительной деятельности (ГИСОГД)</w:t>
            </w:r>
          </w:p>
          <w:p>
            <w:pPr>
              <w:pStyle w:val="ListParagraph"/>
              <w:numPr>
                <w:ilvl w:val="0"/>
                <w:numId w:val="42"/>
              </w:numPr>
              <w:tabs>
                <w:tab w:val="clear" w:pos="708"/>
                <w:tab w:val="left" w:pos="317" w:leader="none"/>
              </w:tabs>
              <w:suppressAutoHyphens w:val="false"/>
              <w:spacing w:lineRule="auto" w:line="240" w:before="0" w:after="0"/>
              <w:ind w:left="317" w:hanging="283"/>
              <w:contextualSpacing/>
              <w:jc w:val="both"/>
              <w:rPr>
                <w:rFonts w:cs="Times New Roman"/>
              </w:rPr>
            </w:pPr>
            <w:r>
              <w:rPr>
                <w:rFonts w:cs="Times New Roman"/>
              </w:rPr>
              <w:t>Освоение и развитие новых территорий</w:t>
            </w:r>
          </w:p>
        </w:tc>
        <w:tc>
          <w:tcPr>
            <w:tcW w:w="4396" w:type="dxa"/>
            <w:tcBorders/>
            <w:shd w:fill="auto" w:val="clear"/>
          </w:tcPr>
          <w:p>
            <w:pPr>
              <w:pStyle w:val="17"/>
              <w:numPr>
                <w:ilvl w:val="0"/>
                <w:numId w:val="43"/>
              </w:numPr>
              <w:tabs>
                <w:tab w:val="clear" w:pos="708"/>
                <w:tab w:val="left" w:pos="318" w:leader="none"/>
              </w:tabs>
              <w:spacing w:lineRule="auto" w:line="240" w:before="0" w:after="0"/>
              <w:ind w:left="34" w:firstLine="65"/>
              <w:jc w:val="both"/>
              <w:rPr>
                <w:color w:val="auto"/>
              </w:rPr>
            </w:pPr>
            <w:r>
              <w:rPr/>
              <w:t>Федеральное законодательство</w:t>
            </w:r>
          </w:p>
          <w:p>
            <w:pPr>
              <w:pStyle w:val="17"/>
              <w:numPr>
                <w:ilvl w:val="0"/>
                <w:numId w:val="43"/>
              </w:numPr>
              <w:tabs>
                <w:tab w:val="clear" w:pos="708"/>
                <w:tab w:val="left" w:pos="318" w:leader="none"/>
              </w:tabs>
              <w:spacing w:lineRule="auto" w:line="240" w:before="0" w:after="0"/>
              <w:ind w:left="34" w:firstLine="65"/>
              <w:jc w:val="both"/>
              <w:rPr>
                <w:color w:val="auto"/>
              </w:rPr>
            </w:pPr>
            <w:r>
              <w:rPr>
                <w:color w:val="auto"/>
              </w:rPr>
              <w:t>Рост ветхого и жилищного фонда</w:t>
            </w:r>
          </w:p>
          <w:p>
            <w:pPr>
              <w:pStyle w:val="17"/>
              <w:numPr>
                <w:ilvl w:val="0"/>
                <w:numId w:val="43"/>
              </w:numPr>
              <w:tabs>
                <w:tab w:val="clear" w:pos="708"/>
                <w:tab w:val="left" w:pos="318" w:leader="none"/>
              </w:tabs>
              <w:spacing w:lineRule="auto" w:line="240" w:before="0" w:after="0"/>
              <w:ind w:left="34" w:firstLine="65"/>
              <w:jc w:val="both"/>
              <w:rPr>
                <w:color w:val="auto"/>
              </w:rPr>
            </w:pPr>
            <w:r>
              <w:rPr>
                <w:color w:val="auto"/>
              </w:rPr>
              <w:t>Недостаточное финансирование из областного бюджета</w:t>
            </w:r>
          </w:p>
        </w:tc>
      </w:tr>
      <w:tr>
        <w:trPr/>
        <w:tc>
          <w:tcPr>
            <w:tcW w:w="9606" w:type="dxa"/>
            <w:gridSpan w:val="3"/>
            <w:tcBorders/>
            <w:shd w:color="auto" w:fill="618096" w:themeFill="accent4" w:themeFillShade="bf" w:val="clear"/>
          </w:tcPr>
          <w:p>
            <w:pPr>
              <w:pStyle w:val="Normal"/>
              <w:spacing w:lineRule="auto" w:line="228" w:before="0" w:after="0"/>
              <w:jc w:val="both"/>
              <w:rPr>
                <w:rFonts w:eastAsia="Calibri" w:cs="Times New Roman"/>
              </w:rPr>
            </w:pPr>
            <w:r>
              <w:rPr>
                <w:rFonts w:eastAsia="Calibri" w:cs="Times New Roman"/>
              </w:rPr>
            </w:r>
          </w:p>
        </w:tc>
      </w:tr>
      <w:tr>
        <w:trPr/>
        <w:tc>
          <w:tcPr>
            <w:tcW w:w="815" w:type="dxa"/>
            <w:vMerge w:val="restart"/>
            <w:tcBorders/>
            <w:shd w:fill="auto" w:val="clear"/>
            <w:textDirection w:val="btLr"/>
            <w:vAlign w:val="center"/>
          </w:tcPr>
          <w:p>
            <w:pPr>
              <w:pStyle w:val="Normal"/>
              <w:spacing w:lineRule="auto" w:line="228" w:before="0" w:after="0"/>
              <w:ind w:left="113" w:right="113" w:hanging="0"/>
              <w:contextualSpacing/>
              <w:jc w:val="center"/>
              <w:rPr>
                <w:rFonts w:eastAsia="Calibri" w:cs="Times New Roman"/>
                <w:i/>
                <w:i/>
              </w:rPr>
            </w:pPr>
            <w:r>
              <w:rPr>
                <w:rFonts w:eastAsia="Calibri" w:cs="Times New Roman"/>
                <w:i/>
              </w:rPr>
              <w:t>Сельское хозяйство</w:t>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«Сильные» стороны</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«Слабые» стороны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35"/>
              </w:numPr>
              <w:tabs>
                <w:tab w:val="clear" w:pos="708"/>
                <w:tab w:val="left" w:pos="317" w:leader="none"/>
              </w:tabs>
              <w:suppressAutoHyphens w:val="false"/>
              <w:spacing w:lineRule="auto" w:line="240" w:before="0" w:after="0"/>
              <w:ind w:left="317" w:hanging="283"/>
              <w:contextualSpacing/>
              <w:jc w:val="both"/>
              <w:rPr>
                <w:rFonts w:cs="Times New Roman"/>
              </w:rPr>
            </w:pPr>
            <w:r>
              <w:rPr>
                <w:rFonts w:cs="Times New Roman"/>
              </w:rPr>
              <w:t>Положительная динамика показателей производства сельскохозяйственной продукции</w:t>
            </w:r>
          </w:p>
          <w:p>
            <w:pPr>
              <w:pStyle w:val="ListParagraph"/>
              <w:numPr>
                <w:ilvl w:val="0"/>
                <w:numId w:val="35"/>
              </w:numPr>
              <w:tabs>
                <w:tab w:val="clear" w:pos="708"/>
                <w:tab w:val="left" w:pos="317" w:leader="none"/>
              </w:tabs>
              <w:suppressAutoHyphens w:val="false"/>
              <w:spacing w:lineRule="auto" w:line="240" w:before="0" w:after="0"/>
              <w:ind w:left="317" w:hanging="283"/>
              <w:contextualSpacing/>
              <w:jc w:val="both"/>
              <w:rPr>
                <w:rFonts w:cs="Times New Roman"/>
              </w:rPr>
            </w:pPr>
            <w:r>
              <w:rPr>
                <w:rFonts w:cs="Times New Roman"/>
              </w:rPr>
              <w:t>Наличие свободных земель сельскохозяйственного назначения (пашня, пастбища, сенокосы) пригодных для ведения крестьянских - фермерских хозяйств и личных подсобных хозяйств</w:t>
            </w:r>
          </w:p>
          <w:p>
            <w:pPr>
              <w:pStyle w:val="ListParagraph"/>
              <w:numPr>
                <w:ilvl w:val="0"/>
                <w:numId w:val="35"/>
              </w:numPr>
              <w:tabs>
                <w:tab w:val="clear" w:pos="708"/>
                <w:tab w:val="left" w:pos="317" w:leader="none"/>
              </w:tabs>
              <w:suppressAutoHyphens w:val="false"/>
              <w:spacing w:lineRule="auto" w:line="240" w:before="0" w:after="0"/>
              <w:ind w:left="317" w:hanging="283"/>
              <w:contextualSpacing/>
              <w:jc w:val="both"/>
              <w:rPr>
                <w:rFonts w:cs="Times New Roman"/>
              </w:rPr>
            </w:pPr>
            <w:r>
              <w:rPr>
                <w:rFonts w:cs="Times New Roman"/>
              </w:rPr>
              <w:t>Всесторонняя государственная и муниципальная поддержка агропромышленного комплекса</w:t>
            </w:r>
          </w:p>
        </w:tc>
        <w:tc>
          <w:tcPr>
            <w:tcW w:w="4396" w:type="dxa"/>
            <w:tcBorders/>
            <w:shd w:fill="auto" w:val="clear"/>
          </w:tcPr>
          <w:p>
            <w:pPr>
              <w:pStyle w:val="ListParagraph"/>
              <w:numPr>
                <w:ilvl w:val="0"/>
                <w:numId w:val="35"/>
              </w:numPr>
              <w:tabs>
                <w:tab w:val="clear" w:pos="708"/>
                <w:tab w:val="left" w:pos="329" w:leader="none"/>
              </w:tabs>
              <w:suppressAutoHyphens w:val="false"/>
              <w:spacing w:lineRule="auto" w:line="240" w:before="0" w:after="0"/>
              <w:ind w:left="318" w:hanging="284"/>
              <w:contextualSpacing/>
              <w:jc w:val="both"/>
              <w:rPr>
                <w:rFonts w:cs="Times New Roman"/>
              </w:rPr>
            </w:pPr>
            <w:r>
              <w:rPr>
                <w:rFonts w:cs="Times New Roman"/>
              </w:rPr>
              <w:t>Разный уровень инфраструктурной обеспеченности сельскохозяйственного производства поселений</w:t>
            </w:r>
          </w:p>
          <w:p>
            <w:pPr>
              <w:pStyle w:val="ListParagraph"/>
              <w:numPr>
                <w:ilvl w:val="0"/>
                <w:numId w:val="35"/>
              </w:numPr>
              <w:tabs>
                <w:tab w:val="clear" w:pos="708"/>
                <w:tab w:val="left" w:pos="329" w:leader="none"/>
              </w:tabs>
              <w:suppressAutoHyphens w:val="false"/>
              <w:spacing w:lineRule="auto" w:line="240" w:before="0" w:after="0"/>
              <w:ind w:left="318" w:hanging="284"/>
              <w:contextualSpacing/>
              <w:jc w:val="both"/>
              <w:rPr>
                <w:rFonts w:cs="Times New Roman"/>
              </w:rPr>
            </w:pPr>
            <w:r>
              <w:rPr>
                <w:rFonts w:cs="Times New Roman"/>
              </w:rPr>
              <w:t>Слабая инвестиционная привлекательность сельского хозяйства не способствует спросу на введение в сельскохозяйственный оборот и освоению земельных ресурсов</w:t>
            </w:r>
          </w:p>
          <w:p>
            <w:pPr>
              <w:pStyle w:val="ListParagraph"/>
              <w:numPr>
                <w:ilvl w:val="0"/>
                <w:numId w:val="35"/>
              </w:numPr>
              <w:tabs>
                <w:tab w:val="clear" w:pos="708"/>
                <w:tab w:val="left" w:pos="329" w:leader="none"/>
              </w:tabs>
              <w:suppressAutoHyphens w:val="false"/>
              <w:spacing w:lineRule="auto" w:line="240" w:before="0" w:after="0"/>
              <w:ind w:left="318" w:hanging="284"/>
              <w:contextualSpacing/>
              <w:jc w:val="both"/>
              <w:rPr>
                <w:rFonts w:cs="Times New Roman"/>
              </w:rPr>
            </w:pPr>
            <w:r>
              <w:rPr>
                <w:rFonts w:cs="Times New Roman"/>
              </w:rPr>
              <w:t>Отсутствие системы гарантированного государственного сбыта сельскохозяйственной продукции</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«Возможности»</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«Угрозы»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35"/>
              </w:numPr>
              <w:suppressAutoHyphens w:val="false"/>
              <w:spacing w:lineRule="auto" w:line="240" w:before="0" w:after="0"/>
              <w:ind w:left="317" w:hanging="283"/>
              <w:contextualSpacing/>
              <w:rPr>
                <w:rFonts w:cs="Times New Roman"/>
              </w:rPr>
            </w:pPr>
            <w:r>
              <w:rPr>
                <w:rFonts w:cs="Times New Roman"/>
              </w:rPr>
              <w:t>Увеличение объёма и глубины переработки основных видов сельскохозяйственной продукции</w:t>
            </w:r>
          </w:p>
          <w:p>
            <w:pPr>
              <w:pStyle w:val="ListParagraph"/>
              <w:numPr>
                <w:ilvl w:val="0"/>
                <w:numId w:val="35"/>
              </w:numPr>
              <w:suppressAutoHyphens w:val="false"/>
              <w:spacing w:lineRule="auto" w:line="240" w:before="0" w:after="0"/>
              <w:ind w:left="317" w:hanging="283"/>
              <w:contextualSpacing/>
              <w:rPr>
                <w:rFonts w:cs="Times New Roman"/>
              </w:rPr>
            </w:pPr>
            <w:r>
              <w:rPr>
                <w:rFonts w:cs="Times New Roman"/>
              </w:rPr>
              <w:t>Модернизация производства сельскохозяйственной продукции за счёт использования современных технологий.</w:t>
            </w:r>
          </w:p>
          <w:p>
            <w:pPr>
              <w:pStyle w:val="ListParagraph"/>
              <w:numPr>
                <w:ilvl w:val="0"/>
                <w:numId w:val="35"/>
              </w:numPr>
              <w:suppressAutoHyphens w:val="false"/>
              <w:spacing w:lineRule="auto" w:line="240" w:before="0" w:after="0"/>
              <w:ind w:left="317" w:hanging="283"/>
              <w:contextualSpacing/>
              <w:rPr>
                <w:rFonts w:cs="Times New Roman"/>
              </w:rPr>
            </w:pPr>
            <w:r>
              <w:rPr>
                <w:rFonts w:cs="Times New Roman"/>
              </w:rPr>
              <w:t>Развитие сельскохозяйственной кооперации и малых форм хозяйствования</w:t>
            </w:r>
          </w:p>
          <w:p>
            <w:pPr>
              <w:pStyle w:val="ListParagraph"/>
              <w:numPr>
                <w:ilvl w:val="0"/>
                <w:numId w:val="35"/>
              </w:numPr>
              <w:suppressAutoHyphens w:val="false"/>
              <w:spacing w:lineRule="auto" w:line="240" w:before="0" w:after="0"/>
              <w:ind w:left="317" w:hanging="283"/>
              <w:contextualSpacing/>
              <w:rPr>
                <w:rFonts w:cs="Times New Roman"/>
              </w:rPr>
            </w:pPr>
            <w:r>
              <w:rPr>
                <w:rFonts w:cs="Times New Roman"/>
              </w:rPr>
              <w:t>Возможность производства экологически чистых видов продукции (мясо, молоко, овощи)</w:t>
            </w:r>
          </w:p>
        </w:tc>
        <w:tc>
          <w:tcPr>
            <w:tcW w:w="4396" w:type="dxa"/>
            <w:tcBorders/>
            <w:shd w:fill="auto" w:val="clear"/>
          </w:tcPr>
          <w:p>
            <w:pPr>
              <w:pStyle w:val="ListParagraph"/>
              <w:numPr>
                <w:ilvl w:val="0"/>
                <w:numId w:val="35"/>
              </w:numPr>
              <w:suppressAutoHyphens w:val="false"/>
              <w:spacing w:lineRule="auto" w:line="240" w:before="0" w:after="0"/>
              <w:ind w:left="318" w:hanging="284"/>
              <w:contextualSpacing/>
              <w:rPr>
                <w:rFonts w:cs="Times New Roman"/>
              </w:rPr>
            </w:pPr>
            <w:r>
              <w:rPr>
                <w:rFonts w:cs="Times New Roman"/>
              </w:rPr>
              <w:t>Влияние неблагоприятных климатических условий.</w:t>
            </w:r>
          </w:p>
          <w:p>
            <w:pPr>
              <w:pStyle w:val="ListParagraph"/>
              <w:numPr>
                <w:ilvl w:val="0"/>
                <w:numId w:val="35"/>
              </w:numPr>
              <w:suppressAutoHyphens w:val="false"/>
              <w:spacing w:lineRule="auto" w:line="240" w:before="0" w:after="0"/>
              <w:ind w:left="318" w:hanging="284"/>
              <w:contextualSpacing/>
              <w:rPr>
                <w:rFonts w:cs="Times New Roman"/>
              </w:rPr>
            </w:pPr>
            <w:r>
              <w:rPr>
                <w:rFonts w:cs="Times New Roman"/>
              </w:rPr>
              <w:t>Изменение налогового законодательства</w:t>
            </w:r>
          </w:p>
          <w:p>
            <w:pPr>
              <w:pStyle w:val="ListParagraph"/>
              <w:numPr>
                <w:ilvl w:val="0"/>
                <w:numId w:val="35"/>
              </w:numPr>
              <w:suppressAutoHyphens w:val="false"/>
              <w:spacing w:lineRule="auto" w:line="240" w:before="0" w:after="0"/>
              <w:ind w:left="318" w:hanging="284"/>
              <w:contextualSpacing/>
              <w:rPr>
                <w:rFonts w:cs="Times New Roman"/>
              </w:rPr>
            </w:pPr>
            <w:r>
              <w:rPr>
                <w:rFonts w:cs="Times New Roman"/>
              </w:rPr>
              <w:t>связанного с увеличением фискальной нагрузки на субъекты бизнеса.</w:t>
            </w:r>
          </w:p>
          <w:p>
            <w:pPr>
              <w:pStyle w:val="ListParagraph"/>
              <w:numPr>
                <w:ilvl w:val="0"/>
                <w:numId w:val="35"/>
              </w:numPr>
              <w:suppressAutoHyphens w:val="false"/>
              <w:spacing w:lineRule="auto" w:line="240" w:before="0" w:after="0"/>
              <w:ind w:left="318" w:hanging="284"/>
              <w:contextualSpacing/>
              <w:rPr>
                <w:rFonts w:cs="Times New Roman"/>
              </w:rPr>
            </w:pPr>
            <w:r>
              <w:rPr>
                <w:rFonts w:cs="Times New Roman"/>
              </w:rPr>
              <w:t>Диспаритет цен на сырьевые ресурсы и готовую продукцию сельского хозяйства.</w:t>
            </w:r>
          </w:p>
        </w:tc>
      </w:tr>
      <w:tr>
        <w:trPr>
          <w:trHeight w:val="269" w:hRule="atLeast"/>
        </w:trPr>
        <w:tc>
          <w:tcPr>
            <w:tcW w:w="9606" w:type="dxa"/>
            <w:gridSpan w:val="3"/>
            <w:tcBorders/>
            <w:shd w:color="auto" w:fill="618096" w:themeFill="accent4" w:themeFillShade="bf" w:val="clear"/>
            <w:textDirection w:val="btLr"/>
            <w:vAlign w:val="center"/>
          </w:tcPr>
          <w:p>
            <w:pPr>
              <w:pStyle w:val="ListParagraph"/>
              <w:spacing w:lineRule="auto" w:line="228" w:before="0" w:after="0"/>
              <w:ind w:left="0" w:hanging="0"/>
              <w:contextualSpacing/>
              <w:jc w:val="center"/>
              <w:rPr>
                <w:rFonts w:cs="Times New Roman"/>
                <w:b/>
                <w:b/>
              </w:rPr>
            </w:pPr>
            <w:r>
              <w:rPr>
                <w:rFonts w:cs="Times New Roman"/>
                <w:b/>
              </w:rPr>
            </w:r>
          </w:p>
        </w:tc>
      </w:tr>
      <w:tr>
        <w:trPr/>
        <w:tc>
          <w:tcPr>
            <w:tcW w:w="815"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rPr>
            </w:pPr>
            <w:r>
              <w:rPr>
                <w:rFonts w:cs="Times New Roman"/>
                <w:i/>
              </w:rPr>
              <w:t>Инвестиционный потенциал</w:t>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Благоприятное географическое положение</w:t>
            </w:r>
          </w:p>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Наличие минеральной ресурсной базы для производства строитель</w:t>
              <w:softHyphen/>
              <w:t>ных материалов и стеклокерамики.</w:t>
            </w:r>
          </w:p>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Наличие природных и культурных объектов, имеющих потенциал для развития туризма.</w:t>
            </w:r>
          </w:p>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Наличие свободных промышленных площадок.</w:t>
            </w:r>
          </w:p>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Наличие свободных земель сель</w:t>
              <w:softHyphen/>
              <w:t>скохозяйственного назначения.</w:t>
            </w:r>
          </w:p>
        </w:tc>
        <w:tc>
          <w:tcPr>
            <w:tcW w:w="4396" w:type="dxa"/>
            <w:tcBorders/>
            <w:shd w:fill="auto" w:val="clear"/>
          </w:tcPr>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«Слабый» местный бюджет, направленный в основном на</w:t>
            </w:r>
            <w:r>
              <w:rPr>
                <w:spacing w:val="-6"/>
              </w:rPr>
              <w:t xml:space="preserve"> </w:t>
            </w:r>
            <w:r>
              <w:rPr>
                <w:rFonts w:cs="Times New Roman"/>
                <w:spacing w:val="-6"/>
              </w:rPr>
              <w:t>ис</w:t>
              <w:softHyphen/>
              <w:t>полнение социальных обязательств.</w:t>
            </w:r>
          </w:p>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Не развитая или слабо развитая инженерная инфраструктура близ инвестиционно-привлекательных земельных участков и площадок.</w:t>
            </w:r>
          </w:p>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Отсутствие системы льгот и му</w:t>
              <w:softHyphen/>
              <w:t>ниципальной поддержки инвести</w:t>
              <w:softHyphen/>
              <w:t>ционной деятельности.</w:t>
            </w:r>
          </w:p>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Миграционный отток населения.</w:t>
            </w:r>
          </w:p>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Отсутствие образовательных ор</w:t>
              <w:softHyphen/>
              <w:t>ганизаций, осуществляющих про</w:t>
              <w:softHyphen/>
              <w:t>фессиональную подготовку спе</w:t>
              <w:softHyphen/>
              <w:t>циалистов.</w:t>
            </w:r>
          </w:p>
          <w:p>
            <w:pPr>
              <w:pStyle w:val="ListParagraph"/>
              <w:suppressAutoHyphens w:val="false"/>
              <w:spacing w:lineRule="auto" w:line="228" w:before="0" w:after="0"/>
              <w:ind w:left="318" w:hanging="0"/>
              <w:contextualSpacing/>
              <w:jc w:val="both"/>
              <w:rPr>
                <w:rFonts w:cs="Times New Roman"/>
                <w:spacing w:val="-6"/>
              </w:rPr>
            </w:pPr>
            <w:r>
              <w:rPr>
                <w:rFonts w:cs="Times New Roman"/>
                <w:spacing w:val="-6"/>
              </w:rPr>
            </w:r>
          </w:p>
        </w:tc>
      </w:tr>
      <w:tr>
        <w:trPr/>
        <w:tc>
          <w:tcPr>
            <w:tcW w:w="815" w:type="dxa"/>
            <w:vMerge w:val="continue"/>
            <w:tcBorders/>
            <w:shd w:fill="auto" w:val="clear"/>
          </w:tcPr>
          <w:p>
            <w:pPr>
              <w:pStyle w:val="ListParagraph"/>
              <w:spacing w:lineRule="auto" w:line="228" w:before="0" w:after="0"/>
              <w:ind w:left="0" w:hanging="0"/>
              <w:contextualSpacing/>
              <w:jc w:val="center"/>
              <w:rPr>
                <w:rFonts w:cs="Times New Roman"/>
                <w:b/>
                <w:b/>
              </w:rPr>
            </w:pPr>
            <w:r>
              <w:rPr>
                <w:rFonts w:cs="Times New Roman"/>
                <w:b/>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28" w:before="0" w:after="0"/>
              <w:ind w:left="0" w:hanging="0"/>
              <w:contextualSpacing/>
              <w:rPr>
                <w:rFonts w:cs="Times New Roman"/>
              </w:rPr>
            </w:pPr>
            <w:r>
              <w:rPr>
                <w:rFonts w:cs="Times New Roman"/>
              </w:rPr>
            </w:r>
          </w:p>
        </w:tc>
        <w:tc>
          <w:tcPr>
            <w:tcW w:w="4395" w:type="dxa"/>
            <w:tcBorders/>
            <w:shd w:fill="auto" w:val="clear"/>
          </w:tcPr>
          <w:p>
            <w:pPr>
              <w:pStyle w:val="ListParagraph"/>
              <w:numPr>
                <w:ilvl w:val="0"/>
                <w:numId w:val="36"/>
              </w:numPr>
              <w:suppressAutoHyphens w:val="false"/>
              <w:spacing w:lineRule="auto" w:line="228" w:before="0" w:after="0"/>
              <w:ind w:left="317" w:hanging="317"/>
              <w:contextualSpacing/>
              <w:jc w:val="both"/>
              <w:rPr>
                <w:rFonts w:cs="Times New Roman"/>
                <w:spacing w:val="-6"/>
              </w:rPr>
            </w:pPr>
            <w:r>
              <w:rPr>
                <w:rFonts w:cs="Times New Roman"/>
                <w:spacing w:val="-6"/>
              </w:rPr>
              <w:t>Получение мер государственной поддержки инвестиционной деятельности в соответствии с Законом Ульяновской области от 15.03.2005 № 19-ЗО.</w:t>
            </w:r>
          </w:p>
          <w:p>
            <w:pPr>
              <w:pStyle w:val="ListParagraph"/>
              <w:numPr>
                <w:ilvl w:val="0"/>
                <w:numId w:val="36"/>
              </w:numPr>
              <w:suppressAutoHyphens w:val="false"/>
              <w:spacing w:lineRule="auto" w:line="228" w:before="0" w:after="0"/>
              <w:ind w:left="317" w:hanging="317"/>
              <w:contextualSpacing/>
              <w:jc w:val="both"/>
              <w:rPr>
                <w:rFonts w:cs="Times New Roman"/>
                <w:spacing w:val="-6"/>
              </w:rPr>
            </w:pPr>
            <w:r>
              <w:rPr>
                <w:rFonts w:cs="Times New Roman"/>
                <w:spacing w:val="-6"/>
              </w:rPr>
              <w:t>Активизация инвестиционной де</w:t>
              <w:softHyphen/>
              <w:t>ятельности в результате улучшения инвестиционного климата.</w:t>
            </w:r>
          </w:p>
          <w:p>
            <w:pPr>
              <w:pStyle w:val="ListParagraph"/>
              <w:numPr>
                <w:ilvl w:val="0"/>
                <w:numId w:val="36"/>
              </w:numPr>
              <w:suppressAutoHyphens w:val="false"/>
              <w:spacing w:lineRule="auto" w:line="228" w:before="0" w:after="0"/>
              <w:ind w:left="317" w:hanging="317"/>
              <w:contextualSpacing/>
              <w:jc w:val="both"/>
              <w:rPr>
                <w:rFonts w:cs="Times New Roman"/>
                <w:spacing w:val="-6"/>
              </w:rPr>
            </w:pPr>
            <w:r>
              <w:rPr>
                <w:rFonts w:cs="Times New Roman"/>
                <w:spacing w:val="-6"/>
              </w:rPr>
              <w:t>Привлечение новых инвестицион</w:t>
              <w:softHyphen/>
              <w:t>ных партнеров.</w:t>
            </w:r>
          </w:p>
        </w:tc>
        <w:tc>
          <w:tcPr>
            <w:tcW w:w="4396" w:type="dxa"/>
            <w:tcBorders/>
            <w:shd w:fill="auto" w:val="clear"/>
          </w:tcPr>
          <w:p>
            <w:pPr>
              <w:pStyle w:val="ListParagraph"/>
              <w:numPr>
                <w:ilvl w:val="0"/>
                <w:numId w:val="36"/>
              </w:numPr>
              <w:suppressAutoHyphens w:val="false"/>
              <w:spacing w:lineRule="auto" w:line="228" w:before="0" w:after="0"/>
              <w:ind w:left="318" w:hanging="284"/>
              <w:contextualSpacing/>
              <w:jc w:val="both"/>
              <w:rPr>
                <w:rFonts w:cs="Times New Roman"/>
                <w:spacing w:val="-6"/>
              </w:rPr>
            </w:pPr>
            <w:r>
              <w:rPr>
                <w:rFonts w:cs="Times New Roman"/>
                <w:spacing w:val="-6"/>
              </w:rPr>
              <w:t>Высокая конкуренция по размещению инвестиционных проектов с соседними муниципальными образованиями Ульяновской области.</w:t>
            </w:r>
          </w:p>
          <w:p>
            <w:pPr>
              <w:pStyle w:val="ListParagraph"/>
              <w:numPr>
                <w:ilvl w:val="0"/>
                <w:numId w:val="36"/>
              </w:numPr>
              <w:suppressAutoHyphens w:val="false"/>
              <w:spacing w:lineRule="auto" w:line="228" w:before="0" w:after="0"/>
              <w:ind w:left="318" w:hanging="284"/>
              <w:contextualSpacing/>
              <w:jc w:val="both"/>
              <w:rPr>
                <w:rFonts w:cs="Times New Roman"/>
                <w:spacing w:val="-6"/>
              </w:rPr>
            </w:pPr>
            <w:r>
              <w:rPr>
                <w:rFonts w:cs="Times New Roman"/>
                <w:spacing w:val="-6"/>
              </w:rPr>
              <w:t>Ограничение доступа продукции на внешние рынки ввиду введения экономических санкций.</w:t>
            </w:r>
          </w:p>
        </w:tc>
      </w:tr>
      <w:tr>
        <w:trPr>
          <w:trHeight w:val="314" w:hRule="atLeast"/>
        </w:trPr>
        <w:tc>
          <w:tcPr>
            <w:tcW w:w="9606" w:type="dxa"/>
            <w:gridSpan w:val="3"/>
            <w:tcBorders/>
            <w:shd w:color="auto" w:fill="618096" w:themeFill="accent4" w:themeFillShade="bf" w:val="clear"/>
            <w:textDirection w:val="btLr"/>
            <w:vAlign w:val="center"/>
          </w:tcPr>
          <w:p>
            <w:pPr>
              <w:pStyle w:val="ListParagraph"/>
              <w:spacing w:lineRule="auto" w:line="228" w:before="0" w:after="0"/>
              <w:ind w:left="0" w:hanging="0"/>
              <w:contextualSpacing/>
              <w:jc w:val="center"/>
              <w:rPr>
                <w:rFonts w:cs="Times New Roman"/>
                <w:b/>
                <w:b/>
              </w:rPr>
            </w:pPr>
            <w:r>
              <w:rPr>
                <w:rFonts w:cs="Times New Roman"/>
                <w:b/>
              </w:rPr>
            </w:r>
          </w:p>
        </w:tc>
      </w:tr>
      <w:tr>
        <w:trPr/>
        <w:tc>
          <w:tcPr>
            <w:tcW w:w="815"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rPr>
            </w:pPr>
            <w:r>
              <w:rPr>
                <w:rFonts w:cs="Times New Roman"/>
                <w:i/>
              </w:rPr>
              <w:t>Предпринимательская среда</w:t>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39"/>
              </w:numPr>
              <w:suppressAutoHyphens w:val="false"/>
              <w:spacing w:lineRule="auto" w:line="228" w:before="0" w:after="0"/>
              <w:ind w:left="317" w:hanging="283"/>
              <w:contextualSpacing/>
              <w:jc w:val="both"/>
              <w:rPr>
                <w:rFonts w:cs="Times New Roman"/>
                <w:spacing w:val="-6"/>
              </w:rPr>
            </w:pPr>
            <w:r>
              <w:rPr>
                <w:rFonts w:cs="Times New Roman"/>
                <w:spacing w:val="-6"/>
              </w:rPr>
              <w:t>Большая доля занятых в малом и среднем предпринимательстве, включая индивидуальных предпри</w:t>
              <w:softHyphen/>
              <w:t>нимателей, в общей численности занятых в экономике муниципаль</w:t>
              <w:softHyphen/>
              <w:t>ных районов – 33,4%.</w:t>
            </w:r>
          </w:p>
        </w:tc>
        <w:tc>
          <w:tcPr>
            <w:tcW w:w="4396" w:type="dxa"/>
            <w:tcBorders/>
            <w:shd w:fill="auto" w:val="clear"/>
          </w:tcPr>
          <w:p>
            <w:pPr>
              <w:pStyle w:val="ListParagraph"/>
              <w:numPr>
                <w:ilvl w:val="0"/>
                <w:numId w:val="39"/>
              </w:numPr>
              <w:suppressAutoHyphens w:val="false"/>
              <w:spacing w:lineRule="auto" w:line="228" w:before="0" w:after="0"/>
              <w:ind w:left="318" w:hanging="284"/>
              <w:contextualSpacing/>
              <w:jc w:val="both"/>
              <w:rPr>
                <w:rFonts w:cs="Times New Roman"/>
                <w:spacing w:val="-6"/>
              </w:rPr>
            </w:pPr>
            <w:r>
              <w:rPr>
                <w:rFonts w:cs="Times New Roman"/>
                <w:spacing w:val="-6"/>
              </w:rPr>
              <w:t>Отсутствие эффективных мер под</w:t>
              <w:softHyphen/>
              <w:t>держки малого и среднего предпри</w:t>
              <w:softHyphen/>
              <w:t>нимательства со стороны муници</w:t>
              <w:softHyphen/>
              <w:t>пальной власти.</w:t>
            </w:r>
          </w:p>
          <w:p>
            <w:pPr>
              <w:pStyle w:val="ListParagraph"/>
              <w:numPr>
                <w:ilvl w:val="0"/>
                <w:numId w:val="39"/>
              </w:numPr>
              <w:suppressAutoHyphens w:val="false"/>
              <w:spacing w:lineRule="auto" w:line="228" w:before="0" w:after="0"/>
              <w:ind w:left="318" w:hanging="284"/>
              <w:contextualSpacing/>
              <w:jc w:val="both"/>
              <w:rPr>
                <w:rFonts w:cs="Times New Roman"/>
                <w:spacing w:val="-6"/>
              </w:rPr>
            </w:pPr>
            <w:r>
              <w:rPr>
                <w:rFonts w:cs="Times New Roman"/>
                <w:spacing w:val="-6"/>
              </w:rPr>
              <w:t>Слабая информированность и низкий уровень правовой и финансовой грамотности субъектов малого и среднего предпринимательства.</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39"/>
              </w:numPr>
              <w:suppressAutoHyphens w:val="false"/>
              <w:spacing w:lineRule="auto" w:line="228" w:before="0" w:after="0"/>
              <w:ind w:left="317" w:hanging="283"/>
              <w:contextualSpacing/>
              <w:jc w:val="both"/>
              <w:rPr>
                <w:rFonts w:cs="Times New Roman"/>
              </w:rPr>
            </w:pPr>
            <w:r>
              <w:rPr>
                <w:rFonts w:cs="Times New Roman"/>
              </w:rPr>
              <w:t>Участие в федеральных и област</w:t>
              <w:softHyphen/>
              <w:t>ных программах поддержки биз</w:t>
              <w:softHyphen/>
              <w:t>неса.</w:t>
            </w:r>
          </w:p>
        </w:tc>
        <w:tc>
          <w:tcPr>
            <w:tcW w:w="4396" w:type="dxa"/>
            <w:tcBorders/>
            <w:shd w:fill="auto" w:val="clear"/>
          </w:tcPr>
          <w:p>
            <w:pPr>
              <w:pStyle w:val="ListParagraph"/>
              <w:numPr>
                <w:ilvl w:val="0"/>
                <w:numId w:val="39"/>
              </w:numPr>
              <w:suppressAutoHyphens w:val="false"/>
              <w:spacing w:lineRule="auto" w:line="228" w:before="0" w:after="0"/>
              <w:ind w:left="318" w:hanging="284"/>
              <w:contextualSpacing/>
              <w:jc w:val="both"/>
              <w:rPr>
                <w:rFonts w:cs="Times New Roman"/>
              </w:rPr>
            </w:pPr>
            <w:r>
              <w:rPr>
                <w:rFonts w:cs="Times New Roman"/>
              </w:rPr>
              <w:t>Вторжение на территорию района крупных сетевых фирм и погло</w:t>
              <w:softHyphen/>
              <w:t>щение местных предпринимателей и производителей.</w:t>
            </w:r>
          </w:p>
        </w:tc>
      </w:tr>
      <w:tr>
        <w:trPr/>
        <w:tc>
          <w:tcPr>
            <w:tcW w:w="9606" w:type="dxa"/>
            <w:gridSpan w:val="3"/>
            <w:tcBorders/>
            <w:shd w:color="auto" w:fill="618096" w:themeFill="accent4" w:themeFillShade="bf" w:val="clear"/>
          </w:tcPr>
          <w:p>
            <w:pPr>
              <w:pStyle w:val="ListParagraph"/>
              <w:spacing w:lineRule="auto" w:line="228" w:before="0" w:after="0"/>
              <w:ind w:left="459" w:hanging="0"/>
              <w:contextualSpacing/>
              <w:jc w:val="both"/>
              <w:rPr>
                <w:rFonts w:cs="Times New Roman"/>
              </w:rPr>
            </w:pPr>
            <w:r>
              <w:rPr>
                <w:rFonts w:cs="Times New Roman"/>
              </w:rPr>
            </w:r>
          </w:p>
        </w:tc>
      </w:tr>
      <w:tr>
        <w:trPr/>
        <w:tc>
          <w:tcPr>
            <w:tcW w:w="815"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i/>
                <w:i/>
              </w:rPr>
            </w:pPr>
            <w:r>
              <w:rPr>
                <w:rFonts w:cs="Times New Roman"/>
                <w:i/>
              </w:rPr>
              <w:t>Доходы населения</w:t>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17"/>
              </w:numPr>
              <w:suppressAutoHyphens w:val="false"/>
              <w:spacing w:lineRule="auto" w:line="240" w:before="0" w:after="0"/>
              <w:ind w:left="317" w:hanging="284"/>
              <w:contextualSpacing/>
              <w:rPr>
                <w:rFonts w:cs="Times New Roman"/>
              </w:rPr>
            </w:pPr>
            <w:r>
              <w:rPr>
                <w:rFonts w:cs="Times New Roman"/>
              </w:rPr>
              <w:t>Низкий уровень безработицы.</w:t>
            </w:r>
          </w:p>
          <w:p>
            <w:pPr>
              <w:pStyle w:val="ListParagraph"/>
              <w:numPr>
                <w:ilvl w:val="0"/>
                <w:numId w:val="17"/>
              </w:numPr>
              <w:suppressAutoHyphens w:val="false"/>
              <w:spacing w:lineRule="auto" w:line="240" w:before="0" w:after="0"/>
              <w:ind w:left="317" w:hanging="284"/>
              <w:contextualSpacing/>
              <w:rPr>
                <w:rFonts w:cs="Times New Roman"/>
              </w:rPr>
            </w:pPr>
            <w:r>
              <w:rPr>
                <w:rFonts w:cs="Times New Roman"/>
              </w:rPr>
              <w:t>Количество созданных рабочих мест, количество вакансий превосходит численность высвобождаемых работников, низкая напряжённость на рынке труда.</w:t>
            </w:r>
          </w:p>
        </w:tc>
        <w:tc>
          <w:tcPr>
            <w:tcW w:w="4396" w:type="dxa"/>
            <w:tcBorders/>
            <w:shd w:fill="auto" w:val="clear"/>
          </w:tcPr>
          <w:p>
            <w:pPr>
              <w:pStyle w:val="ListParagraph"/>
              <w:numPr>
                <w:ilvl w:val="0"/>
                <w:numId w:val="17"/>
              </w:numPr>
              <w:suppressAutoHyphens w:val="false"/>
              <w:spacing w:lineRule="auto" w:line="240" w:before="0" w:after="0"/>
              <w:ind w:left="318" w:hanging="284"/>
              <w:contextualSpacing/>
              <w:rPr>
                <w:rFonts w:cs="Times New Roman"/>
              </w:rPr>
            </w:pPr>
            <w:r>
              <w:rPr>
                <w:rFonts w:cs="Times New Roman"/>
              </w:rPr>
              <w:t>Структурный дисбаланс между спросом и предложением на рабочую силу.</w:t>
            </w:r>
          </w:p>
          <w:p>
            <w:pPr>
              <w:pStyle w:val="ListParagraph"/>
              <w:numPr>
                <w:ilvl w:val="0"/>
                <w:numId w:val="17"/>
              </w:numPr>
              <w:suppressAutoHyphens w:val="false"/>
              <w:spacing w:lineRule="auto" w:line="240" w:before="0" w:after="0"/>
              <w:ind w:left="318" w:hanging="284"/>
              <w:contextualSpacing/>
              <w:rPr>
                <w:rFonts w:cs="Times New Roman"/>
              </w:rPr>
            </w:pPr>
            <w:r>
              <w:rPr>
                <w:rFonts w:cs="Times New Roman"/>
              </w:rPr>
              <w:t>Один из самых низких уровней оплаты труда в регионе (19 место).</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18"/>
              </w:numPr>
              <w:suppressAutoHyphens w:val="false"/>
              <w:spacing w:lineRule="auto" w:line="240" w:before="0" w:after="0"/>
              <w:ind w:left="317" w:hanging="284"/>
              <w:contextualSpacing/>
              <w:rPr>
                <w:rFonts w:cs="Times New Roman"/>
              </w:rPr>
            </w:pPr>
            <w:r>
              <w:rPr>
                <w:rFonts w:cs="Times New Roman"/>
              </w:rPr>
              <w:t>Создание рабочих мест с достойным уровнем оплаты труда</w:t>
            </w:r>
          </w:p>
          <w:p>
            <w:pPr>
              <w:pStyle w:val="ListParagraph"/>
              <w:numPr>
                <w:ilvl w:val="0"/>
                <w:numId w:val="18"/>
              </w:numPr>
              <w:suppressAutoHyphens w:val="false"/>
              <w:spacing w:lineRule="auto" w:line="240" w:before="0" w:after="0"/>
              <w:ind w:left="317" w:hanging="284"/>
              <w:contextualSpacing/>
              <w:rPr>
                <w:rFonts w:cs="Times New Roman"/>
              </w:rPr>
            </w:pPr>
            <w:r>
              <w:rPr>
                <w:rFonts w:cs="Times New Roman"/>
              </w:rPr>
              <w:t>Доведение уровня оплаты труда «бюджетников» до уровня оплаты труда работников внебюджетного сектора</w:t>
            </w:r>
          </w:p>
          <w:p>
            <w:pPr>
              <w:pStyle w:val="ListParagraph"/>
              <w:numPr>
                <w:ilvl w:val="0"/>
                <w:numId w:val="18"/>
              </w:numPr>
              <w:suppressAutoHyphens w:val="false"/>
              <w:spacing w:lineRule="auto" w:line="240" w:before="0" w:after="0"/>
              <w:ind w:left="317" w:hanging="284"/>
              <w:contextualSpacing/>
              <w:rPr>
                <w:rFonts w:cs="Times New Roman"/>
              </w:rPr>
            </w:pPr>
            <w:r>
              <w:rPr>
                <w:rFonts w:cs="Times New Roman"/>
              </w:rPr>
              <w:t>Развитие малого, среднего предпринимательства</w:t>
            </w:r>
          </w:p>
        </w:tc>
        <w:tc>
          <w:tcPr>
            <w:tcW w:w="4396" w:type="dxa"/>
            <w:tcBorders/>
            <w:shd w:fill="auto" w:val="clear"/>
          </w:tcPr>
          <w:p>
            <w:pPr>
              <w:pStyle w:val="ListParagraph"/>
              <w:numPr>
                <w:ilvl w:val="0"/>
                <w:numId w:val="18"/>
              </w:numPr>
              <w:suppressAutoHyphens w:val="false"/>
              <w:spacing w:lineRule="auto" w:line="240" w:before="0" w:after="0"/>
              <w:ind w:left="318" w:hanging="284"/>
              <w:contextualSpacing/>
              <w:rPr>
                <w:rFonts w:cs="Times New Roman"/>
              </w:rPr>
            </w:pPr>
            <w:r>
              <w:rPr>
                <w:rFonts w:cs="Times New Roman"/>
              </w:rPr>
              <w:t xml:space="preserve">Ухудшение экономической ситуации, снижение объёмов производства, сокращения персонала. </w:t>
            </w:r>
          </w:p>
          <w:p>
            <w:pPr>
              <w:pStyle w:val="ListParagraph"/>
              <w:numPr>
                <w:ilvl w:val="0"/>
                <w:numId w:val="18"/>
              </w:numPr>
              <w:suppressAutoHyphens w:val="false"/>
              <w:spacing w:lineRule="auto" w:line="240" w:before="0" w:after="0"/>
              <w:ind w:left="318" w:hanging="284"/>
              <w:contextualSpacing/>
              <w:rPr>
                <w:rFonts w:cs="Times New Roman"/>
              </w:rPr>
            </w:pPr>
            <w:r>
              <w:rPr>
                <w:rFonts w:cs="Times New Roman"/>
              </w:rPr>
              <w:t>Дефицит бюджета.</w:t>
            </w:r>
          </w:p>
        </w:tc>
      </w:tr>
    </w:tbl>
    <w:p>
      <w:pPr>
        <w:pStyle w:val="NoSpacing"/>
        <w:ind w:firstLine="709"/>
        <w:jc w:val="both"/>
        <w:rPr>
          <w:rFonts w:ascii="Times New Roman" w:hAnsi="Times New Roman"/>
          <w:b/>
          <w:b/>
          <w:sz w:val="20"/>
          <w:szCs w:val="28"/>
        </w:rPr>
      </w:pPr>
      <w:r>
        <w:rPr>
          <w:rFonts w:ascii="Times New Roman" w:hAnsi="Times New Roman"/>
          <w:b/>
          <w:sz w:val="20"/>
          <w:szCs w:val="28"/>
        </w:rPr>
      </w:r>
    </w:p>
    <w:p>
      <w:pPr>
        <w:pStyle w:val="NoSpacing"/>
        <w:ind w:firstLine="709"/>
        <w:jc w:val="both"/>
        <w:rPr>
          <w:rFonts w:ascii="Times New Roman" w:hAnsi="Times New Roman"/>
          <w:sz w:val="28"/>
          <w:szCs w:val="28"/>
        </w:rPr>
      </w:pPr>
      <w:r>
        <w:rPr>
          <w:rFonts w:ascii="Times New Roman" w:hAnsi="Times New Roman"/>
          <w:b/>
          <w:sz w:val="28"/>
          <w:szCs w:val="28"/>
        </w:rPr>
        <w:t>Стратегическая цель</w:t>
      </w:r>
      <w:r>
        <w:rPr>
          <w:rFonts w:ascii="Times New Roman" w:hAnsi="Times New Roman"/>
          <w:sz w:val="28"/>
          <w:szCs w:val="28"/>
        </w:rPr>
        <w:t xml:space="preserve"> – повышение уровня жизни населения за счёт содействия развитию приоритетных отраслей экономики и создания благоприятных условий, стимулирующих инвестиционное развитие района.</w:t>
      </w:r>
    </w:p>
    <w:p>
      <w:pPr>
        <w:pStyle w:val="NoSpacing"/>
        <w:ind w:firstLine="709"/>
        <w:rPr>
          <w:rFonts w:ascii="Times New Roman" w:hAnsi="Times New Roman"/>
          <w:b/>
          <w:b/>
          <w:sz w:val="28"/>
          <w:szCs w:val="28"/>
        </w:rPr>
      </w:pPr>
      <w:r>
        <w:rPr>
          <w:rFonts w:ascii="Times New Roman" w:hAnsi="Times New Roman"/>
          <w:b/>
          <w:sz w:val="28"/>
          <w:szCs w:val="28"/>
        </w:rPr>
        <w:t>Приоритеты развития экономики района:</w:t>
      </w:r>
    </w:p>
    <w:p>
      <w:pPr>
        <w:pStyle w:val="NoSpacing"/>
        <w:ind w:firstLine="709"/>
        <w:rPr>
          <w:rFonts w:ascii="Times New Roman" w:hAnsi="Times New Roman"/>
          <w:sz w:val="28"/>
          <w:szCs w:val="28"/>
        </w:rPr>
      </w:pPr>
      <w:r>
        <w:rPr>
          <w:rFonts w:ascii="Times New Roman" w:hAnsi="Times New Roman"/>
          <w:sz w:val="28"/>
          <w:szCs w:val="28"/>
        </w:rPr>
        <w:t>- развитие промышленности;</w:t>
      </w:r>
    </w:p>
    <w:p>
      <w:pPr>
        <w:pStyle w:val="NoSpacing"/>
        <w:ind w:firstLine="709"/>
        <w:rPr>
          <w:rFonts w:ascii="Times New Roman" w:hAnsi="Times New Roman"/>
          <w:sz w:val="28"/>
          <w:szCs w:val="28"/>
        </w:rPr>
      </w:pPr>
      <w:r>
        <w:rPr>
          <w:rFonts w:ascii="Times New Roman" w:hAnsi="Times New Roman"/>
          <w:sz w:val="28"/>
          <w:szCs w:val="28"/>
        </w:rPr>
        <w:t>- развитие жилищного строительства;</w:t>
      </w:r>
    </w:p>
    <w:p>
      <w:pPr>
        <w:pStyle w:val="NoSpacing"/>
        <w:ind w:firstLine="709"/>
        <w:rPr>
          <w:rFonts w:ascii="Times New Roman" w:hAnsi="Times New Roman"/>
          <w:sz w:val="28"/>
          <w:szCs w:val="28"/>
        </w:rPr>
      </w:pPr>
      <w:r>
        <w:rPr>
          <w:rFonts w:ascii="Times New Roman" w:hAnsi="Times New Roman"/>
          <w:sz w:val="28"/>
          <w:szCs w:val="28"/>
        </w:rPr>
        <w:t>- развитие сельского хозяйства;</w:t>
      </w:r>
    </w:p>
    <w:p>
      <w:pPr>
        <w:pStyle w:val="NoSpacing"/>
        <w:ind w:firstLine="709"/>
        <w:rPr>
          <w:rFonts w:ascii="Times New Roman" w:hAnsi="Times New Roman"/>
          <w:sz w:val="28"/>
          <w:szCs w:val="28"/>
        </w:rPr>
      </w:pPr>
      <w:r>
        <w:rPr>
          <w:rFonts w:ascii="Times New Roman" w:hAnsi="Times New Roman"/>
          <w:sz w:val="28"/>
          <w:szCs w:val="28"/>
        </w:rPr>
        <w:t>- повышение инвестиционной привлекательности;</w:t>
      </w:r>
    </w:p>
    <w:p>
      <w:pPr>
        <w:pStyle w:val="NoSpacing"/>
        <w:ind w:firstLine="709"/>
        <w:rPr>
          <w:rFonts w:ascii="Times New Roman" w:hAnsi="Times New Roman"/>
          <w:sz w:val="28"/>
          <w:szCs w:val="28"/>
        </w:rPr>
      </w:pPr>
      <w:r>
        <w:rPr>
          <w:rFonts w:ascii="Times New Roman" w:hAnsi="Times New Roman"/>
          <w:sz w:val="28"/>
          <w:szCs w:val="28"/>
        </w:rPr>
        <w:t>- улучшение предпринимательской среды;</w:t>
      </w:r>
    </w:p>
    <w:p>
      <w:pPr>
        <w:pStyle w:val="NoSpacing"/>
        <w:ind w:firstLine="709"/>
        <w:rPr>
          <w:rFonts w:ascii="Times New Roman" w:hAnsi="Times New Roman"/>
          <w:sz w:val="28"/>
          <w:szCs w:val="28"/>
        </w:rPr>
      </w:pPr>
      <w:r>
        <w:rPr>
          <w:rFonts w:ascii="Times New Roman" w:hAnsi="Times New Roman"/>
          <w:sz w:val="28"/>
          <w:szCs w:val="28"/>
        </w:rPr>
        <w:t>- повышение доходов населения.</w:t>
      </w:r>
    </w:p>
    <w:p>
      <w:pPr>
        <w:pStyle w:val="Normal"/>
        <w:rPr/>
      </w:pPr>
      <w:bookmarkStart w:id="50" w:name="_Toc4405015"/>
      <w:r>
        <w:rPr/>
        <w:t>2.2.1. Развитие промышленности</w:t>
      </w:r>
      <w:bookmarkEnd w:id="50"/>
    </w:p>
    <w:p>
      <w:pPr>
        <w:pStyle w:val="Normal"/>
        <w:ind w:firstLine="709"/>
        <w:jc w:val="both"/>
        <w:rPr>
          <w:rFonts w:cs="Times New Roman"/>
          <w:sz w:val="28"/>
          <w:szCs w:val="28"/>
        </w:rPr>
      </w:pPr>
      <w:r>
        <w:rPr>
          <w:rFonts w:cs="Times New Roman"/>
          <w:sz w:val="28"/>
          <w:szCs w:val="28"/>
        </w:rPr>
        <w:t>Особое влияние на экономику Тереньгульского района оказывают промышленные предприятия. Обеспечение экономического роста муниципалитета должно осуществляться путем роста промышленного производства за счёт создания новых и обновление действующих производственных мощностей.</w:t>
      </w:r>
    </w:p>
    <w:p>
      <w:pPr>
        <w:pStyle w:val="Normal"/>
        <w:ind w:firstLine="709"/>
        <w:jc w:val="both"/>
        <w:rPr>
          <w:rFonts w:cs="Times New Roman"/>
          <w:sz w:val="28"/>
          <w:szCs w:val="28"/>
        </w:rPr>
      </w:pPr>
      <w:r>
        <w:rPr>
          <w:rFonts w:cs="Times New Roman"/>
          <w:sz w:val="28"/>
          <w:szCs w:val="28"/>
        </w:rPr>
        <w:t>Таким образом, «точками роста» данной отрасли являются:</w:t>
      </w:r>
    </w:p>
    <w:p>
      <w:pPr>
        <w:pStyle w:val="Normal"/>
        <w:ind w:firstLine="709"/>
        <w:jc w:val="both"/>
        <w:rPr>
          <w:rFonts w:cs="Times New Roman"/>
          <w:sz w:val="28"/>
          <w:szCs w:val="28"/>
        </w:rPr>
      </w:pPr>
      <w:r>
        <w:rPr>
          <w:rFonts w:cs="Times New Roman"/>
          <w:sz w:val="28"/>
          <w:szCs w:val="28"/>
        </w:rPr>
        <w:t>- модернизация производства, то есть техническое перевооружение и внедрение современных технологий, что позволит существенно повысить качество и конкурентоспособность производимой продукции, создать высокотехнологичные рабочие места, обеспеченные безопасными условиями труда, повысить производительность труда в отраслях промышленности.</w:t>
      </w:r>
    </w:p>
    <w:p>
      <w:pPr>
        <w:pStyle w:val="Normal"/>
        <w:ind w:firstLine="709"/>
        <w:jc w:val="both"/>
        <w:rPr>
          <w:rFonts w:cs="Times New Roman"/>
          <w:sz w:val="28"/>
          <w:szCs w:val="28"/>
        </w:rPr>
      </w:pPr>
      <w:r>
        <w:rPr>
          <w:rFonts w:cs="Times New Roman"/>
          <w:sz w:val="28"/>
          <w:szCs w:val="28"/>
        </w:rPr>
        <w:t>- создание новых производств. В результате развития данного направления ожидается создание новых рабочих мест с достойной заработной платой, увеличение объёма производства выпускаемой продукции, пополнение бюджета дополнительными налоговыми отчислениями.</w:t>
      </w:r>
    </w:p>
    <w:p>
      <w:pPr>
        <w:pStyle w:val="Normal"/>
        <w:ind w:firstLine="709"/>
        <w:jc w:val="both"/>
        <w:rPr>
          <w:rFonts w:cs="Times New Roman"/>
          <w:sz w:val="28"/>
          <w:szCs w:val="28"/>
        </w:rPr>
      </w:pPr>
      <w:r>
        <w:rPr>
          <w:rFonts w:cs="Times New Roman"/>
          <w:sz w:val="28"/>
          <w:szCs w:val="28"/>
        </w:rPr>
        <w:t xml:space="preserve">Основными преимуществами района является наличие сырьевых ресурсов (особую ценность для района представляют месторождения кварцевых песков; на территории района располагается одно из крупнейших в мире месторождений мела «Солдатская Ташла»), наличие федеральной трассы и железнодорожных путей, которые могут дать толчок для развития отраслей промышленного сектора экономики района. </w:t>
      </w:r>
    </w:p>
    <w:p>
      <w:pPr>
        <w:pStyle w:val="Normal"/>
        <w:ind w:firstLine="709"/>
        <w:jc w:val="both"/>
        <w:rPr>
          <w:rFonts w:cs="Times New Roman"/>
          <w:sz w:val="28"/>
          <w:szCs w:val="28"/>
        </w:rPr>
      </w:pPr>
      <w:r>
        <w:rPr>
          <w:rFonts w:cs="Times New Roman"/>
          <w:sz w:val="28"/>
          <w:szCs w:val="28"/>
        </w:rPr>
        <w:t>Причем создание нового промышленного предприятия всегда связано с большими затратами. Сократить расходы на строительство и сроки введения в эксплуатацию нового объекта возможно за счёт созданной готовой промышленной площадки под производство.</w:t>
      </w:r>
    </w:p>
    <w:p>
      <w:pPr>
        <w:pStyle w:val="Normal"/>
        <w:ind w:firstLine="709"/>
        <w:jc w:val="both"/>
        <w:rPr>
          <w:rFonts w:cs="Times New Roman"/>
          <w:sz w:val="28"/>
          <w:szCs w:val="28"/>
        </w:rPr>
      </w:pPr>
      <w:r>
        <w:rPr>
          <w:rFonts w:cs="Times New Roman"/>
          <w:sz w:val="28"/>
          <w:szCs w:val="28"/>
        </w:rPr>
        <w:t>Так, на территории Тереньгульского района существует ряд различного рода объектов, которые выступают в качестве промышленных площадок и могут заинтересовать инвесторов. Немаловажную роль в принятии решения играет обеспеченность данных площадок всеми необходимыми коммуникациями для строительства и дальнейшего развития производства.</w:t>
      </w:r>
    </w:p>
    <w:p>
      <w:pPr>
        <w:pStyle w:val="Normal"/>
        <w:ind w:firstLine="709"/>
        <w:jc w:val="both"/>
        <w:rPr>
          <w:rFonts w:cs="Times New Roman"/>
          <w:sz w:val="28"/>
          <w:szCs w:val="28"/>
        </w:rPr>
      </w:pPr>
      <w:r>
        <w:rPr>
          <w:rFonts w:cs="Times New Roman"/>
          <w:sz w:val="28"/>
          <w:szCs w:val="28"/>
        </w:rPr>
        <w:t>Приоритетными направлениями развития промышленности Тереньгульского района является добывающая и обрабатывающая отрасли.</w:t>
      </w:r>
    </w:p>
    <w:p>
      <w:pPr>
        <w:pStyle w:val="Normal"/>
        <w:ind w:firstLine="709"/>
        <w:jc w:val="both"/>
        <w:rPr>
          <w:rFonts w:cs="Times New Roman"/>
          <w:b/>
          <w:b/>
          <w:i/>
          <w:i/>
          <w:sz w:val="28"/>
          <w:szCs w:val="28"/>
        </w:rPr>
      </w:pPr>
      <w:r>
        <w:rPr>
          <w:rFonts w:cs="Times New Roman"/>
          <w:b/>
          <w:i/>
          <w:sz w:val="28"/>
          <w:szCs w:val="28"/>
        </w:rPr>
        <w:t>Подцели:</w:t>
      </w:r>
    </w:p>
    <w:p>
      <w:pPr>
        <w:pStyle w:val="Normal"/>
        <w:ind w:firstLine="709"/>
        <w:jc w:val="both"/>
        <w:rPr>
          <w:rFonts w:cs="Times New Roman"/>
          <w:sz w:val="28"/>
          <w:szCs w:val="28"/>
        </w:rPr>
      </w:pPr>
      <w:r>
        <w:rPr>
          <w:rFonts w:cs="Times New Roman"/>
          <w:sz w:val="28"/>
          <w:szCs w:val="28"/>
        </w:rPr>
        <w:t>- увеличение объёма отгруженных товаров собственного производства в промышленности (в действующих ценах) в 2 раза к 2030г. (по отношению к уровню 2017г.).</w:t>
      </w:r>
    </w:p>
    <w:p>
      <w:pPr>
        <w:pStyle w:val="Normal"/>
        <w:ind w:firstLine="709"/>
        <w:jc w:val="both"/>
        <w:rPr>
          <w:rFonts w:cs="Times New Roman"/>
          <w:sz w:val="28"/>
          <w:szCs w:val="28"/>
        </w:rPr>
      </w:pPr>
      <w:r>
        <w:rPr>
          <w:rFonts w:cs="Times New Roman"/>
          <w:sz w:val="28"/>
          <w:szCs w:val="28"/>
        </w:rPr>
        <w:t>- доведение уровня доходов работников промышленности до среднерайонного значения к 2030 году.</w:t>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noVBand="1" w:val="04a0" w:noHBand="0" w:lastColumn="0" w:firstColumn="1" w:lastRow="0" w:firstRow="1"/>
      </w:tblPr>
      <w:tblGrid>
        <w:gridCol w:w="4958"/>
        <w:gridCol w:w="1526"/>
        <w:gridCol w:w="1107"/>
        <w:gridCol w:w="1072"/>
        <w:gridCol w:w="975"/>
      </w:tblGrid>
      <w:tr>
        <w:trPr/>
        <w:tc>
          <w:tcPr>
            <w:tcW w:w="4958" w:type="dxa"/>
            <w:tcBorders/>
            <w:shd w:fill="auto" w:val="clear"/>
            <w:vAlign w:val="center"/>
          </w:tcPr>
          <w:p>
            <w:pPr>
              <w:pStyle w:val="ListParagraph"/>
              <w:spacing w:lineRule="auto" w:line="228" w:before="0" w:after="0"/>
              <w:ind w:left="0" w:firstLine="709"/>
              <w:contextualSpacing/>
              <w:jc w:val="center"/>
              <w:rPr>
                <w:rFonts w:cs="Times New Roman"/>
                <w:b/>
                <w:b/>
              </w:rPr>
            </w:pPr>
            <w:r>
              <w:rPr>
                <w:rFonts w:cs="Times New Roman"/>
                <w:b/>
              </w:rPr>
              <w:t>Показатель</w:t>
            </w:r>
          </w:p>
        </w:tc>
        <w:tc>
          <w:tcPr>
            <w:tcW w:w="1526" w:type="dxa"/>
            <w:tcBorders/>
            <w:shd w:fill="auto" w:val="clear"/>
            <w:vAlign w:val="center"/>
          </w:tcPr>
          <w:p>
            <w:pPr>
              <w:pStyle w:val="ListParagraph"/>
              <w:spacing w:lineRule="auto" w:line="228" w:before="0" w:after="0"/>
              <w:ind w:left="0" w:firstLine="34"/>
              <w:contextualSpacing/>
              <w:jc w:val="center"/>
              <w:rPr>
                <w:rFonts w:cs="Times New Roman"/>
                <w:b/>
                <w:b/>
              </w:rPr>
            </w:pPr>
            <w:r>
              <w:rPr>
                <w:rFonts w:cs="Times New Roman"/>
                <w:b/>
              </w:rPr>
              <w:t>2017</w:t>
            </w:r>
          </w:p>
          <w:p>
            <w:pPr>
              <w:pStyle w:val="ListParagraph"/>
              <w:spacing w:lineRule="auto" w:line="228" w:before="0" w:after="0"/>
              <w:ind w:left="0" w:firstLine="34"/>
              <w:contextualSpacing/>
              <w:jc w:val="center"/>
              <w:rPr>
                <w:rFonts w:cs="Times New Roman"/>
                <w:b/>
                <w:b/>
              </w:rPr>
            </w:pPr>
            <w:r>
              <w:rPr>
                <w:rFonts w:cs="Times New Roman"/>
                <w:b/>
              </w:rPr>
              <w:t>(базовый)</w:t>
            </w:r>
          </w:p>
        </w:tc>
        <w:tc>
          <w:tcPr>
            <w:tcW w:w="1107" w:type="dxa"/>
            <w:tcBorders/>
            <w:shd w:fill="auto" w:val="clear"/>
            <w:vAlign w:val="center"/>
          </w:tcPr>
          <w:p>
            <w:pPr>
              <w:pStyle w:val="ListParagraph"/>
              <w:spacing w:lineRule="auto" w:line="228" w:before="0" w:after="0"/>
              <w:ind w:left="0" w:firstLine="34"/>
              <w:contextualSpacing/>
              <w:jc w:val="center"/>
              <w:rPr>
                <w:rFonts w:cs="Times New Roman"/>
                <w:b/>
                <w:b/>
              </w:rPr>
            </w:pPr>
            <w:r>
              <w:rPr>
                <w:rFonts w:cs="Times New Roman"/>
                <w:b/>
              </w:rPr>
              <w:t>2020</w:t>
            </w:r>
          </w:p>
        </w:tc>
        <w:tc>
          <w:tcPr>
            <w:tcW w:w="1072" w:type="dxa"/>
            <w:tcBorders/>
            <w:shd w:fill="auto" w:val="clear"/>
            <w:vAlign w:val="center"/>
          </w:tcPr>
          <w:p>
            <w:pPr>
              <w:pStyle w:val="ListParagraph"/>
              <w:spacing w:lineRule="auto" w:line="228" w:before="0" w:after="0"/>
              <w:ind w:left="0" w:firstLine="34"/>
              <w:contextualSpacing/>
              <w:jc w:val="center"/>
              <w:rPr>
                <w:rFonts w:cs="Times New Roman"/>
                <w:b/>
                <w:b/>
              </w:rPr>
            </w:pPr>
            <w:r>
              <w:rPr>
                <w:rFonts w:cs="Times New Roman"/>
                <w:b/>
              </w:rPr>
              <w:t>2024</w:t>
            </w:r>
          </w:p>
        </w:tc>
        <w:tc>
          <w:tcPr>
            <w:tcW w:w="975" w:type="dxa"/>
            <w:tcBorders/>
            <w:shd w:fill="auto" w:val="clear"/>
            <w:vAlign w:val="center"/>
          </w:tcPr>
          <w:p>
            <w:pPr>
              <w:pStyle w:val="ListParagraph"/>
              <w:spacing w:lineRule="auto" w:line="228" w:before="0" w:after="0"/>
              <w:ind w:left="0" w:firstLine="34"/>
              <w:contextualSpacing/>
              <w:jc w:val="center"/>
              <w:rPr>
                <w:rFonts w:cs="Times New Roman"/>
                <w:b/>
                <w:b/>
              </w:rPr>
            </w:pPr>
            <w:r>
              <w:rPr>
                <w:rFonts w:cs="Times New Roman"/>
                <w:b/>
              </w:rPr>
              <w:t>2030</w:t>
            </w:r>
          </w:p>
        </w:tc>
      </w:tr>
      <w:tr>
        <w:trPr/>
        <w:tc>
          <w:tcPr>
            <w:tcW w:w="4958" w:type="dxa"/>
            <w:tcBorders/>
            <w:shd w:fill="auto" w:val="clear"/>
          </w:tcPr>
          <w:p>
            <w:pPr>
              <w:pStyle w:val="Normal"/>
              <w:spacing w:lineRule="auto" w:line="228" w:before="0" w:after="0"/>
              <w:rPr/>
            </w:pPr>
            <w:r>
              <w:rPr/>
              <w:t>Объём отгруженных товаров собственного производства в промышленности, млн. руб.</w:t>
            </w:r>
          </w:p>
        </w:tc>
        <w:tc>
          <w:tcPr>
            <w:tcW w:w="1526" w:type="dxa"/>
            <w:tcBorders/>
            <w:shd w:fill="auto" w:val="clear"/>
          </w:tcPr>
          <w:p>
            <w:pPr>
              <w:pStyle w:val="Normal"/>
              <w:spacing w:lineRule="auto" w:line="228" w:before="0" w:after="0"/>
              <w:rPr/>
            </w:pPr>
            <w:r>
              <w:rPr/>
              <w:t>935,5</w:t>
            </w:r>
          </w:p>
        </w:tc>
        <w:tc>
          <w:tcPr>
            <w:tcW w:w="1107" w:type="dxa"/>
            <w:tcBorders/>
            <w:shd w:fill="auto" w:val="clear"/>
          </w:tcPr>
          <w:p>
            <w:pPr>
              <w:pStyle w:val="Normal"/>
              <w:spacing w:lineRule="auto" w:line="228" w:before="0" w:after="0"/>
              <w:rPr/>
            </w:pPr>
            <w:r>
              <w:rPr/>
              <w:t>1120</w:t>
            </w:r>
          </w:p>
        </w:tc>
        <w:tc>
          <w:tcPr>
            <w:tcW w:w="1072" w:type="dxa"/>
            <w:tcBorders/>
            <w:shd w:fill="auto" w:val="clear"/>
          </w:tcPr>
          <w:p>
            <w:pPr>
              <w:pStyle w:val="Normal"/>
              <w:spacing w:lineRule="auto" w:line="228" w:before="0" w:after="0"/>
              <w:rPr/>
            </w:pPr>
            <w:r>
              <w:rPr/>
              <w:t>1530</w:t>
            </w:r>
          </w:p>
        </w:tc>
        <w:tc>
          <w:tcPr>
            <w:tcW w:w="975" w:type="dxa"/>
            <w:tcBorders/>
            <w:shd w:fill="auto" w:val="clear"/>
          </w:tcPr>
          <w:p>
            <w:pPr>
              <w:pStyle w:val="Normal"/>
              <w:spacing w:lineRule="auto" w:line="228" w:before="0" w:after="0"/>
              <w:rPr/>
            </w:pPr>
            <w:r>
              <w:rPr/>
              <w:t>1870</w:t>
            </w:r>
          </w:p>
        </w:tc>
      </w:tr>
      <w:tr>
        <w:trPr/>
        <w:tc>
          <w:tcPr>
            <w:tcW w:w="4958" w:type="dxa"/>
            <w:tcBorders/>
            <w:shd w:fill="auto" w:val="clear"/>
          </w:tcPr>
          <w:p>
            <w:pPr>
              <w:pStyle w:val="Normal"/>
              <w:spacing w:lineRule="auto" w:line="228" w:before="0" w:after="0"/>
              <w:rPr/>
            </w:pPr>
            <w:r>
              <w:rPr/>
              <w:t>Среднемесячная заработная плата работников в промышленной отрасли, тыс. руб.</w:t>
            </w:r>
          </w:p>
        </w:tc>
        <w:tc>
          <w:tcPr>
            <w:tcW w:w="1526" w:type="dxa"/>
            <w:tcBorders/>
            <w:shd w:fill="auto" w:val="clear"/>
          </w:tcPr>
          <w:p>
            <w:pPr>
              <w:pStyle w:val="Normal"/>
              <w:spacing w:lineRule="auto" w:line="228" w:before="0" w:after="0"/>
              <w:rPr/>
            </w:pPr>
            <w:r>
              <w:rPr/>
              <w:t>15944,3</w:t>
            </w:r>
          </w:p>
        </w:tc>
        <w:tc>
          <w:tcPr>
            <w:tcW w:w="1107" w:type="dxa"/>
            <w:tcBorders/>
            <w:shd w:fill="auto" w:val="clear"/>
          </w:tcPr>
          <w:p>
            <w:pPr>
              <w:pStyle w:val="Normal"/>
              <w:spacing w:lineRule="auto" w:line="228" w:before="0" w:after="0"/>
              <w:rPr/>
            </w:pPr>
            <w:r>
              <w:rPr/>
              <w:t>24600</w:t>
            </w:r>
          </w:p>
        </w:tc>
        <w:tc>
          <w:tcPr>
            <w:tcW w:w="1072" w:type="dxa"/>
            <w:tcBorders/>
            <w:shd w:fill="auto" w:val="clear"/>
          </w:tcPr>
          <w:p>
            <w:pPr>
              <w:pStyle w:val="Normal"/>
              <w:spacing w:lineRule="auto" w:line="228" w:before="0" w:after="0"/>
              <w:rPr/>
            </w:pPr>
            <w:r>
              <w:rPr/>
              <w:t>32500</w:t>
            </w:r>
          </w:p>
        </w:tc>
        <w:tc>
          <w:tcPr>
            <w:tcW w:w="975" w:type="dxa"/>
            <w:tcBorders/>
            <w:shd w:fill="auto" w:val="clear"/>
          </w:tcPr>
          <w:p>
            <w:pPr>
              <w:pStyle w:val="Normal"/>
              <w:spacing w:lineRule="auto" w:line="228" w:before="0" w:after="0"/>
              <w:rPr/>
            </w:pPr>
            <w:r>
              <w:rPr/>
              <w:t>45300</w:t>
            </w:r>
          </w:p>
        </w:tc>
      </w:tr>
    </w:tbl>
    <w:p>
      <w:pPr>
        <w:pStyle w:val="ListParagraph"/>
        <w:tabs>
          <w:tab w:val="clear" w:pos="708"/>
          <w:tab w:val="left" w:pos="709" w:leader="none"/>
          <w:tab w:val="left" w:pos="851" w:leader="none"/>
        </w:tabs>
        <w:ind w:left="0" w:firstLine="426"/>
        <w:jc w:val="both"/>
        <w:rPr>
          <w:rFonts w:cs="Times New Roman"/>
          <w:b/>
          <w:b/>
          <w:i/>
          <w:i/>
          <w:color w:val="000000"/>
          <w:sz w:val="28"/>
          <w:szCs w:val="28"/>
        </w:rPr>
      </w:pPr>
      <w:r>
        <w:rPr>
          <w:rFonts w:cs="Times New Roman"/>
          <w:b/>
          <w:i/>
          <w:color w:val="000000"/>
          <w:sz w:val="28"/>
          <w:szCs w:val="28"/>
        </w:rPr>
        <w:t>Задачи:</w:t>
      </w:r>
    </w:p>
    <w:p>
      <w:pPr>
        <w:pStyle w:val="NormalWeb"/>
        <w:tabs>
          <w:tab w:val="clear" w:pos="708"/>
          <w:tab w:val="left" w:pos="567" w:leader="none"/>
          <w:tab w:val="left" w:pos="851" w:leader="none"/>
          <w:tab w:val="left" w:pos="993" w:leader="none"/>
        </w:tabs>
        <w:spacing w:beforeAutospacing="0" w:before="0" w:afterAutospacing="0" w:after="0"/>
        <w:ind w:firstLine="709"/>
        <w:jc w:val="both"/>
        <w:rPr>
          <w:sz w:val="28"/>
          <w:szCs w:val="28"/>
        </w:rPr>
      </w:pPr>
      <w:r>
        <w:rPr>
          <w:sz w:val="28"/>
          <w:szCs w:val="28"/>
        </w:rPr>
        <w:t>1. Содействие повышения инвестиционной привлекательности отраслей промышленности и привлечение как минимум 3-х инвесторов:</w:t>
      </w:r>
    </w:p>
    <w:p>
      <w:pPr>
        <w:pStyle w:val="NormalWeb"/>
        <w:tabs>
          <w:tab w:val="clear" w:pos="708"/>
          <w:tab w:val="left" w:pos="567" w:leader="none"/>
          <w:tab w:val="left" w:pos="851" w:leader="none"/>
          <w:tab w:val="left" w:pos="993" w:leader="none"/>
        </w:tabs>
        <w:spacing w:beforeAutospacing="0" w:before="0" w:afterAutospacing="0" w:after="0"/>
        <w:ind w:firstLine="709"/>
        <w:jc w:val="both"/>
        <w:rPr>
          <w:sz w:val="28"/>
          <w:szCs w:val="28"/>
        </w:rPr>
      </w:pPr>
      <w:r>
        <w:rPr>
          <w:sz w:val="28"/>
          <w:szCs w:val="28"/>
        </w:rPr>
        <w:t>- активное сотрудничество с промышленными предприятиями со стороны муниципальной администрации;</w:t>
      </w:r>
    </w:p>
    <w:p>
      <w:pPr>
        <w:pStyle w:val="NormalWeb"/>
        <w:tabs>
          <w:tab w:val="clear" w:pos="708"/>
          <w:tab w:val="left" w:pos="567" w:leader="none"/>
          <w:tab w:val="left" w:pos="851" w:leader="none"/>
          <w:tab w:val="left" w:pos="993" w:leader="none"/>
        </w:tabs>
        <w:spacing w:beforeAutospacing="0" w:before="0" w:afterAutospacing="0" w:after="0"/>
        <w:ind w:firstLine="709"/>
        <w:jc w:val="both"/>
        <w:rPr>
          <w:sz w:val="28"/>
          <w:szCs w:val="28"/>
        </w:rPr>
      </w:pPr>
      <w:r>
        <w:rPr>
          <w:sz w:val="28"/>
          <w:szCs w:val="28"/>
        </w:rPr>
        <w:t>- активное взаимодействие с АО «Корпорацией развития Ульяновской области»;</w:t>
      </w:r>
    </w:p>
    <w:p>
      <w:pPr>
        <w:pStyle w:val="Style29"/>
        <w:shd w:val="clear" w:color="auto" w:fill="auto"/>
        <w:tabs>
          <w:tab w:val="clear" w:pos="708"/>
          <w:tab w:val="left" w:pos="851" w:leader="none"/>
          <w:tab w:val="left" w:pos="993"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2. Создание условий для размещения новых производств и создания не менее 50 высокопроизводительных рабочих мест с достойной заработной платой в год:</w:t>
      </w:r>
    </w:p>
    <w:p>
      <w:pPr>
        <w:pStyle w:val="Style29"/>
        <w:shd w:val="clear" w:color="auto" w:fill="auto"/>
        <w:tabs>
          <w:tab w:val="clear" w:pos="708"/>
          <w:tab w:val="left" w:pos="851" w:leader="none"/>
          <w:tab w:val="left" w:pos="993"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обеспечение промышленными площадками с необходимой инженерной инфраструктурой (водоснабжение, газоснабжение, электроснабжение, дороги);</w:t>
      </w:r>
    </w:p>
    <w:p>
      <w:pPr>
        <w:pStyle w:val="Style29"/>
        <w:shd w:val="clear" w:color="auto" w:fill="auto"/>
        <w:tabs>
          <w:tab w:val="clear" w:pos="708"/>
          <w:tab w:val="left" w:pos="851" w:leader="none"/>
          <w:tab w:val="left" w:pos="993"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предоставление земельных участков или недействующих объектов в аренду на взаимовыгодных условиях;</w:t>
      </w:r>
    </w:p>
    <w:p>
      <w:pPr>
        <w:pStyle w:val="NormalWeb"/>
        <w:tabs>
          <w:tab w:val="clear" w:pos="708"/>
          <w:tab w:val="left" w:pos="567" w:leader="none"/>
          <w:tab w:val="left" w:pos="851" w:leader="none"/>
          <w:tab w:val="left" w:pos="993" w:leader="none"/>
        </w:tabs>
        <w:spacing w:beforeAutospacing="0" w:before="0" w:afterAutospacing="0" w:after="0"/>
        <w:ind w:firstLine="709"/>
        <w:jc w:val="both"/>
        <w:rPr>
          <w:sz w:val="28"/>
          <w:szCs w:val="28"/>
        </w:rPr>
      </w:pPr>
      <w:r>
        <w:rPr>
          <w:sz w:val="28"/>
          <w:szCs w:val="28"/>
        </w:rPr>
        <w:t>- строительство завода по производству стекла.</w:t>
      </w:r>
    </w:p>
    <w:p>
      <w:pPr>
        <w:pStyle w:val="NormalWeb"/>
        <w:tabs>
          <w:tab w:val="clear" w:pos="708"/>
          <w:tab w:val="left" w:pos="851" w:leader="none"/>
          <w:tab w:val="left" w:pos="993" w:leader="none"/>
        </w:tabs>
        <w:spacing w:beforeAutospacing="0" w:before="0" w:afterAutospacing="0" w:after="0"/>
        <w:ind w:firstLine="709"/>
        <w:jc w:val="both"/>
        <w:rPr>
          <w:bCs/>
          <w:sz w:val="28"/>
          <w:szCs w:val="28"/>
        </w:rPr>
      </w:pPr>
      <w:r>
        <w:rPr>
          <w:sz w:val="28"/>
          <w:szCs w:val="28"/>
        </w:rPr>
        <w:t>3. Модернизация существующих производств</w:t>
      </w:r>
      <w:r>
        <w:rPr>
          <w:bCs/>
          <w:sz w:val="28"/>
          <w:szCs w:val="28"/>
        </w:rPr>
        <w:t xml:space="preserve"> и</w:t>
      </w:r>
      <w:r>
        <w:rPr>
          <w:sz w:val="28"/>
          <w:szCs w:val="28"/>
        </w:rPr>
        <w:t xml:space="preserve"> вывод на полную мощность ранее созданных производств:</w:t>
      </w:r>
      <w:r>
        <w:rPr>
          <w:bCs/>
          <w:sz w:val="28"/>
          <w:szCs w:val="28"/>
        </w:rPr>
        <w:t xml:space="preserve"> </w:t>
      </w:r>
    </w:p>
    <w:p>
      <w:pPr>
        <w:pStyle w:val="NormalWeb"/>
        <w:tabs>
          <w:tab w:val="clear" w:pos="708"/>
          <w:tab w:val="left" w:pos="851" w:leader="none"/>
          <w:tab w:val="left" w:pos="993" w:leader="none"/>
        </w:tabs>
        <w:spacing w:beforeAutospacing="0" w:before="0" w:afterAutospacing="0" w:after="0"/>
        <w:ind w:firstLine="709"/>
        <w:jc w:val="both"/>
        <w:rPr>
          <w:bCs/>
          <w:sz w:val="28"/>
          <w:szCs w:val="28"/>
        </w:rPr>
      </w:pPr>
      <w:r>
        <w:rPr>
          <w:bCs/>
          <w:sz w:val="28"/>
          <w:szCs w:val="28"/>
        </w:rPr>
        <w:t>- внедрения современных технологий;</w:t>
      </w:r>
    </w:p>
    <w:p>
      <w:pPr>
        <w:pStyle w:val="NormalWeb"/>
        <w:tabs>
          <w:tab w:val="clear" w:pos="708"/>
          <w:tab w:val="left" w:pos="851" w:leader="none"/>
          <w:tab w:val="left" w:pos="993" w:leader="none"/>
        </w:tabs>
        <w:spacing w:beforeAutospacing="0" w:before="0" w:afterAutospacing="0" w:after="0"/>
        <w:ind w:firstLine="709"/>
        <w:jc w:val="both"/>
        <w:rPr>
          <w:sz w:val="28"/>
          <w:szCs w:val="28"/>
        </w:rPr>
      </w:pPr>
      <w:r>
        <w:rPr>
          <w:bCs/>
          <w:sz w:val="28"/>
          <w:szCs w:val="28"/>
        </w:rPr>
        <w:t>- привлечения высококвалифицированных кадров;</w:t>
      </w:r>
    </w:p>
    <w:p>
      <w:pPr>
        <w:pStyle w:val="NormalWeb"/>
        <w:tabs>
          <w:tab w:val="clear" w:pos="708"/>
          <w:tab w:val="left" w:pos="851" w:leader="none"/>
          <w:tab w:val="left" w:pos="993" w:leader="none"/>
        </w:tabs>
        <w:spacing w:beforeAutospacing="0" w:before="0" w:afterAutospacing="0" w:after="0"/>
        <w:ind w:firstLine="709"/>
        <w:jc w:val="both"/>
        <w:rPr>
          <w:sz w:val="28"/>
          <w:szCs w:val="28"/>
        </w:rPr>
      </w:pPr>
      <w:r>
        <w:rPr>
          <w:bCs/>
          <w:sz w:val="28"/>
          <w:szCs w:val="28"/>
        </w:rPr>
        <w:t>- ООО «Лукьяновский ГОК», запустивший в 2017 году цех по производству сухих строительных смесей, в 2019-2020 годах планирует выйти на проектную мощность.</w:t>
      </w:r>
    </w:p>
    <w:p>
      <w:pPr>
        <w:pStyle w:val="ListParagraph"/>
        <w:tabs>
          <w:tab w:val="clear" w:pos="708"/>
          <w:tab w:val="left" w:pos="851" w:leader="none"/>
          <w:tab w:val="left" w:pos="993" w:leader="none"/>
        </w:tabs>
        <w:ind w:left="0" w:firstLine="709"/>
        <w:jc w:val="both"/>
        <w:rPr>
          <w:sz w:val="28"/>
          <w:szCs w:val="28"/>
        </w:rPr>
      </w:pPr>
      <w:r>
        <w:rPr>
          <w:rFonts w:cs="Times New Roman"/>
          <w:sz w:val="28"/>
          <w:szCs w:val="28"/>
        </w:rPr>
        <w:t xml:space="preserve">4. </w:t>
      </w:r>
      <w:r>
        <w:rPr>
          <w:sz w:val="28"/>
          <w:szCs w:val="28"/>
        </w:rPr>
        <w:t>Минимизация экологического ущерба, наносимого промышленными предприятиями.</w:t>
      </w:r>
    </w:p>
    <w:p>
      <w:pPr>
        <w:pStyle w:val="ListParagraph"/>
        <w:tabs>
          <w:tab w:val="clear" w:pos="708"/>
          <w:tab w:val="left" w:pos="851" w:leader="none"/>
          <w:tab w:val="left" w:pos="993" w:leader="none"/>
        </w:tabs>
        <w:ind w:left="0" w:firstLine="709"/>
        <w:jc w:val="both"/>
        <w:rPr>
          <w:rFonts w:cs="Times New Roman"/>
          <w:sz w:val="28"/>
          <w:szCs w:val="28"/>
        </w:rPr>
      </w:pPr>
      <w:r>
        <w:rPr>
          <w:sz w:val="28"/>
          <w:szCs w:val="28"/>
        </w:rPr>
        <w:t xml:space="preserve">5. </w:t>
      </w:r>
      <w:r>
        <w:rPr>
          <w:rFonts w:cs="Times New Roman"/>
          <w:sz w:val="28"/>
          <w:szCs w:val="28"/>
        </w:rPr>
        <w:t>Обеспечение повышения конкурентоспособности продукции за счёт обновления основных производственных фондов.</w:t>
      </w:r>
    </w:p>
    <w:p>
      <w:pPr>
        <w:pStyle w:val="Style29"/>
        <w:shd w:val="clear" w:color="auto" w:fill="auto"/>
        <w:tabs>
          <w:tab w:val="clear" w:pos="708"/>
          <w:tab w:val="left" w:pos="851" w:leader="none"/>
          <w:tab w:val="left" w:pos="993"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6. Продвижение продукции промышленных производств за пределами Тереньгульского района и Ульяновской области.</w:t>
      </w:r>
    </w:p>
    <w:p>
      <w:pPr>
        <w:pStyle w:val="ListParagraph"/>
        <w:shd w:val="clear" w:color="auto" w:fill="FFFFFF"/>
        <w:tabs>
          <w:tab w:val="clear" w:pos="708"/>
          <w:tab w:val="left" w:pos="993" w:leader="none"/>
        </w:tabs>
        <w:ind w:left="0" w:firstLine="709"/>
        <w:jc w:val="both"/>
        <w:rPr>
          <w:rFonts w:cs="Times New Roman"/>
          <w:color w:val="000000"/>
          <w:sz w:val="28"/>
          <w:szCs w:val="28"/>
          <w:lang w:eastAsia="ru-RU"/>
        </w:rPr>
      </w:pPr>
      <w:r>
        <w:rPr>
          <w:rFonts w:cs="Times New Roman"/>
          <w:color w:val="000000"/>
          <w:sz w:val="28"/>
          <w:szCs w:val="28"/>
          <w:lang w:eastAsia="ru-RU"/>
        </w:rPr>
        <w:t>Таким образом, на территории Тереньгульского района предполагается формирование промышленной зоны.</w:t>
      </w:r>
    </w:p>
    <w:p>
      <w:pPr>
        <w:pStyle w:val="ListParagraph"/>
        <w:shd w:val="clear" w:color="auto" w:fill="FFFFFF"/>
        <w:tabs>
          <w:tab w:val="clear" w:pos="708"/>
          <w:tab w:val="left" w:pos="993" w:leader="none"/>
        </w:tabs>
        <w:ind w:left="0" w:firstLine="709"/>
        <w:jc w:val="both"/>
        <w:rPr>
          <w:rFonts w:cs="Times New Roman"/>
          <w:color w:val="000000"/>
          <w:sz w:val="28"/>
          <w:szCs w:val="28"/>
          <w:lang w:eastAsia="ru-RU"/>
        </w:rPr>
      </w:pPr>
      <w:r>
        <w:rPr>
          <w:rFonts w:cs="Times New Roman"/>
          <w:color w:val="000000"/>
          <w:sz w:val="28"/>
          <w:szCs w:val="28"/>
          <w:lang w:eastAsia="ru-RU"/>
        </w:rPr>
        <w:t xml:space="preserve">Судя по сырьевым запасам, направлениями интенсивного развития промышленности района следует рассматривать производство строительных материалов и </w:t>
      </w:r>
      <w:r>
        <w:rPr>
          <w:rFonts w:cs="Times New Roman"/>
          <w:sz w:val="28"/>
          <w:szCs w:val="28"/>
          <w:lang w:eastAsia="ru-RU"/>
        </w:rPr>
        <w:t xml:space="preserve">развитие предприятий по производству стекла. </w:t>
      </w:r>
      <w:r>
        <w:rPr>
          <w:rFonts w:cs="Times New Roman"/>
          <w:color w:val="000000"/>
          <w:sz w:val="28"/>
          <w:szCs w:val="28"/>
          <w:lang w:eastAsia="ru-RU"/>
        </w:rPr>
        <w:t xml:space="preserve">Территория района богата мелом, известняком, глинами для производства цемента. </w:t>
      </w:r>
    </w:p>
    <w:p>
      <w:pPr>
        <w:pStyle w:val="ListParagraph"/>
        <w:shd w:val="clear" w:color="auto" w:fill="FFFFFF"/>
        <w:tabs>
          <w:tab w:val="clear" w:pos="708"/>
          <w:tab w:val="left" w:pos="993" w:leader="none"/>
        </w:tabs>
        <w:ind w:left="0" w:firstLine="709"/>
        <w:jc w:val="both"/>
        <w:rPr>
          <w:rFonts w:cs="Times New Roman"/>
          <w:sz w:val="28"/>
          <w:szCs w:val="28"/>
          <w:lang w:eastAsia="ru-RU"/>
        </w:rPr>
      </w:pPr>
      <w:r>
        <w:rPr>
          <w:rFonts w:cs="Times New Roman"/>
          <w:color w:val="000000"/>
          <w:sz w:val="28"/>
          <w:szCs w:val="28"/>
          <w:lang w:eastAsia="ru-RU"/>
        </w:rPr>
        <w:t xml:space="preserve">Также наиболее перспективным направлением для развития промышленной отрасли Тереньгульского района должны стать добыча и использование диатомита. </w:t>
      </w:r>
      <w:r>
        <w:rPr>
          <w:rFonts w:cs="Times New Roman"/>
          <w:sz w:val="28"/>
          <w:szCs w:val="28"/>
        </w:rPr>
        <w:t xml:space="preserve">Он </w:t>
      </w:r>
      <w:r>
        <w:rPr>
          <w:rFonts w:cs="Times New Roman"/>
          <w:bCs/>
          <w:sz w:val="28"/>
          <w:szCs w:val="28"/>
        </w:rPr>
        <w:t>широко применяется в промышленности, косметологии и сельском хозяйстве</w:t>
      </w:r>
      <w:r>
        <w:rPr>
          <w:rFonts w:cs="Times New Roman"/>
          <w:sz w:val="28"/>
          <w:szCs w:val="28"/>
        </w:rPr>
        <w:t>. Диатомит, полученный в месторождениях Ульяновской области, планируется применять в качестве осушителей и катализаторов газов.</w:t>
      </w:r>
    </w:p>
    <w:p>
      <w:pPr>
        <w:pStyle w:val="ListParagraph"/>
        <w:shd w:val="clear" w:color="auto" w:fill="FFFFFF"/>
        <w:tabs>
          <w:tab w:val="clear" w:pos="708"/>
          <w:tab w:val="left" w:pos="993" w:leader="none"/>
        </w:tabs>
        <w:ind w:left="0" w:firstLine="709"/>
        <w:jc w:val="both"/>
        <w:rPr>
          <w:rFonts w:cs="Times New Roman"/>
          <w:color w:val="000000" w:themeColor="text1"/>
          <w:sz w:val="28"/>
          <w:szCs w:val="28"/>
          <w:lang w:eastAsia="ru-RU"/>
        </w:rPr>
      </w:pPr>
      <w:r>
        <w:rPr>
          <w:rFonts w:cs="Times New Roman"/>
          <w:color w:val="000000"/>
          <w:sz w:val="28"/>
          <w:szCs w:val="28"/>
          <w:lang w:eastAsia="ru-RU"/>
        </w:rPr>
        <w:t xml:space="preserve">Однако все эти виды производства являются производствами, сильно изменяющими ландшафт территории и загрязняющими природную среду, которая после активного производственного воздействия трудно восстанавливается. Поэтому </w:t>
      </w:r>
      <w:r>
        <w:rPr>
          <w:rFonts w:cs="Times New Roman"/>
          <w:color w:val="000000" w:themeColor="text1"/>
          <w:sz w:val="28"/>
          <w:szCs w:val="28"/>
          <w:lang w:eastAsia="ru-RU"/>
        </w:rPr>
        <w:t xml:space="preserve">необходимо разработать в каждом инвестиционном проекте меры по рекультивации карьеров. А также имеющиеся в районе промышленные предприятия необходимо переоснастить более производительным и экологичным оборудованием. </w:t>
      </w:r>
    </w:p>
    <w:p>
      <w:pPr>
        <w:pStyle w:val="ListParagraph"/>
        <w:tabs>
          <w:tab w:val="clear" w:pos="708"/>
          <w:tab w:val="left" w:pos="432" w:leader="none"/>
          <w:tab w:val="left" w:pos="993" w:leader="none"/>
        </w:tabs>
        <w:spacing w:before="0" w:after="120"/>
        <w:ind w:left="0" w:firstLine="709"/>
        <w:contextualSpacing/>
        <w:jc w:val="both"/>
        <w:rPr>
          <w:rFonts w:cs="Times New Roman"/>
          <w:sz w:val="28"/>
          <w:szCs w:val="28"/>
        </w:rPr>
      </w:pPr>
      <w:r>
        <w:rPr>
          <w:rFonts w:cs="Times New Roman"/>
          <w:sz w:val="28"/>
          <w:szCs w:val="28"/>
        </w:rPr>
        <w:t xml:space="preserve">В результате при решении вышеперечисленных задач в течение планируемого периода предполагается создать основу для серьёзного наращивания объёмов промышленного производства в районе, повышения конкурентоспособности предприятий, увеличения количества высокотехнологичных и высокооплачиваемых рабочих мест. В то же время, учитывая тот факт, что цикл проектирования и строительства промышленных объектов не быстрый, а в планируемом периоде рост объёмов промышленного производства и, соответственно, налоговой отдачи в муниципальный бюджет будет не столь высоким, должен обеспечиться за счёт выполнения модернизации действующих предприятий, а также быстрореализуемых малых и средних проектов. </w:t>
      </w:r>
    </w:p>
    <w:p>
      <w:pPr>
        <w:pStyle w:val="ListParagraph"/>
        <w:tabs>
          <w:tab w:val="clear" w:pos="708"/>
          <w:tab w:val="left" w:pos="432" w:leader="none"/>
          <w:tab w:val="left" w:pos="993" w:leader="none"/>
        </w:tabs>
        <w:spacing w:before="0" w:after="120"/>
        <w:ind w:left="0" w:firstLine="709"/>
        <w:contextualSpacing/>
        <w:jc w:val="both"/>
        <w:rPr>
          <w:rFonts w:cs="Times New Roman"/>
          <w:sz w:val="28"/>
          <w:szCs w:val="28"/>
        </w:rPr>
      </w:pPr>
      <w:r>
        <w:rPr>
          <w:rFonts w:cs="Times New Roman"/>
          <w:sz w:val="28"/>
          <w:szCs w:val="28"/>
        </w:rPr>
      </w:r>
    </w:p>
    <w:p>
      <w:pPr>
        <w:pStyle w:val="Normal"/>
        <w:rPr/>
      </w:pPr>
      <w:bookmarkStart w:id="51" w:name="_Toc4405016"/>
      <w:r>
        <w:rPr/>
        <w:t>2.2.2. Развитие жилищного строительства</w:t>
      </w:r>
      <w:bookmarkEnd w:id="51"/>
    </w:p>
    <w:p>
      <w:pPr>
        <w:pStyle w:val="ListParagraph"/>
        <w:ind w:left="0" w:firstLine="709"/>
        <w:jc w:val="both"/>
        <w:rPr>
          <w:rFonts w:cs="Times New Roman"/>
          <w:sz w:val="28"/>
          <w:szCs w:val="28"/>
        </w:rPr>
      </w:pPr>
      <w:r>
        <w:rPr>
          <w:rFonts w:cs="Times New Roman"/>
          <w:spacing w:val="2"/>
          <w:sz w:val="28"/>
          <w:szCs w:val="28"/>
          <w:shd w:fill="FFFFFF" w:val="clear"/>
        </w:rPr>
        <w:t>Оказание содействия населению Тереньгульского района в получении доступного жилья, а также в улучшении жилищных условий является главным направлением в развитии жилищного строительства на территории муниципального образования.</w:t>
      </w:r>
    </w:p>
    <w:p>
      <w:pPr>
        <w:pStyle w:val="Normal"/>
        <w:ind w:firstLine="709"/>
        <w:jc w:val="both"/>
        <w:rPr>
          <w:rFonts w:cs="Times New Roman"/>
          <w:sz w:val="28"/>
          <w:szCs w:val="28"/>
        </w:rPr>
      </w:pPr>
      <w:r>
        <w:rPr>
          <w:rFonts w:cs="Times New Roman"/>
          <w:sz w:val="28"/>
          <w:szCs w:val="28"/>
        </w:rPr>
        <w:t xml:space="preserve">Проведенный анализ текущей ситуации в сфере жилищного строительства Тереньгульского района позволил выделить ряд положительных моментов: на протяжении более 10 лет наблюдался рост ввода жилья, высокие результаты по вводу в действие жилых домов в расчёте на 1000 человек населения. </w:t>
      </w:r>
    </w:p>
    <w:p>
      <w:pPr>
        <w:pStyle w:val="Normal"/>
        <w:ind w:firstLine="709"/>
        <w:jc w:val="both"/>
        <w:rPr>
          <w:rFonts w:cs="Times New Roman"/>
          <w:sz w:val="28"/>
          <w:szCs w:val="28"/>
        </w:rPr>
      </w:pPr>
      <w:r>
        <w:rPr>
          <w:rFonts w:cs="Times New Roman"/>
          <w:sz w:val="28"/>
          <w:szCs w:val="28"/>
        </w:rPr>
        <w:t>Сдерживающими факторами развития отрасли строительства района является отсутствие платежеспособного спроса населения района, наличие ветхого жилого фонда, сокращение площади земельных участков на территории района, предоставленных для строительства, сокращение числа семей, получивших или улучшивших жилищные условия,</w:t>
      </w:r>
      <w:r>
        <w:rPr>
          <w:sz w:val="28"/>
          <w:szCs w:val="28"/>
        </w:rPr>
        <w:t xml:space="preserve"> неактуализированная градостроительная документация</w:t>
      </w:r>
      <w:r>
        <w:rPr>
          <w:rFonts w:cs="Times New Roman"/>
          <w:sz w:val="28"/>
          <w:szCs w:val="28"/>
        </w:rPr>
        <w:t>.</w:t>
      </w:r>
    </w:p>
    <w:p>
      <w:pPr>
        <w:pStyle w:val="Normal"/>
        <w:ind w:firstLine="709"/>
        <w:jc w:val="both"/>
        <w:rPr>
          <w:rFonts w:cs="Times New Roman"/>
          <w:sz w:val="28"/>
          <w:szCs w:val="28"/>
        </w:rPr>
      </w:pPr>
      <w:r>
        <w:rPr>
          <w:rFonts w:cs="Times New Roman"/>
          <w:sz w:val="28"/>
          <w:szCs w:val="28"/>
        </w:rPr>
        <w:t>В качестве приоритетного направления в сфере жилищного строительства в муниципальном образовании следует выделить реализацию проекта малоэтажной жилой застройки.</w:t>
      </w:r>
    </w:p>
    <w:p>
      <w:pPr>
        <w:pStyle w:val="Normal"/>
        <w:ind w:firstLine="709"/>
        <w:jc w:val="both"/>
        <w:rPr>
          <w:rFonts w:cs="Times New Roman"/>
          <w:sz w:val="28"/>
          <w:szCs w:val="28"/>
        </w:rPr>
      </w:pPr>
      <w:r>
        <w:rPr>
          <w:rFonts w:cs="Times New Roman"/>
          <w:sz w:val="28"/>
          <w:szCs w:val="28"/>
        </w:rPr>
      </w:r>
    </w:p>
    <w:p>
      <w:pPr>
        <w:pStyle w:val="Default"/>
        <w:ind w:firstLine="709"/>
        <w:jc w:val="both"/>
        <w:rPr>
          <w:rFonts w:ascii="Times New Roman" w:hAnsi="Times New Roman" w:cs="Times New Roman"/>
          <w:b/>
          <w:b/>
          <w:i/>
          <w:i/>
          <w:sz w:val="28"/>
          <w:szCs w:val="28"/>
        </w:rPr>
      </w:pPr>
      <w:r>
        <w:rPr>
          <w:rFonts w:cs="Times New Roman" w:ascii="Times New Roman" w:hAnsi="Times New Roman"/>
          <w:b/>
          <w:i/>
          <w:sz w:val="28"/>
          <w:szCs w:val="28"/>
        </w:rPr>
        <w:t>Подцель – увеличение объёмов ввода жилья в 2024 году в 1,5 раза к уровню 2018 года и сохранение достигнутых темпов до 2030 года.</w:t>
      </w:r>
    </w:p>
    <w:p>
      <w:pPr>
        <w:pStyle w:val="Default"/>
        <w:ind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noVBand="1" w:val="04a0" w:noHBand="0" w:lastColumn="0" w:firstColumn="1" w:lastRow="0" w:firstRow="1"/>
      </w:tblPr>
      <w:tblGrid>
        <w:gridCol w:w="5374"/>
        <w:gridCol w:w="1386"/>
        <w:gridCol w:w="1112"/>
        <w:gridCol w:w="970"/>
        <w:gridCol w:w="796"/>
      </w:tblGrid>
      <w:tr>
        <w:trPr/>
        <w:tc>
          <w:tcPr>
            <w:tcW w:w="5374"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386"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111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7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796"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374" w:type="dxa"/>
            <w:tcBorders/>
            <w:shd w:fill="auto" w:val="clear"/>
          </w:tcPr>
          <w:p>
            <w:pPr>
              <w:pStyle w:val="Normal"/>
              <w:spacing w:lineRule="auto" w:line="240" w:before="0" w:after="0"/>
              <w:rPr/>
            </w:pPr>
            <w:r>
              <w:rPr/>
              <w:t>Ввод в действие жилых домов, тыс. кв. м</w:t>
            </w:r>
          </w:p>
        </w:tc>
        <w:tc>
          <w:tcPr>
            <w:tcW w:w="1386" w:type="dxa"/>
            <w:tcBorders/>
            <w:shd w:fill="auto" w:val="clear"/>
            <w:vAlign w:val="center"/>
          </w:tcPr>
          <w:p>
            <w:pPr>
              <w:pStyle w:val="Normal"/>
              <w:spacing w:lineRule="auto" w:line="240" w:before="0" w:after="0"/>
              <w:jc w:val="center"/>
              <w:rPr/>
            </w:pPr>
            <w:r>
              <w:rPr/>
              <w:t>14,7</w:t>
            </w:r>
          </w:p>
        </w:tc>
        <w:tc>
          <w:tcPr>
            <w:tcW w:w="1112" w:type="dxa"/>
            <w:tcBorders/>
            <w:shd w:fill="auto" w:val="clear"/>
            <w:vAlign w:val="center"/>
          </w:tcPr>
          <w:p>
            <w:pPr>
              <w:pStyle w:val="Normal"/>
              <w:spacing w:lineRule="auto" w:line="240" w:before="0" w:after="0"/>
              <w:jc w:val="center"/>
              <w:rPr/>
            </w:pPr>
            <w:r>
              <w:rPr/>
              <w:t>17</w:t>
            </w:r>
          </w:p>
        </w:tc>
        <w:tc>
          <w:tcPr>
            <w:tcW w:w="970" w:type="dxa"/>
            <w:tcBorders/>
            <w:shd w:fill="auto" w:val="clear"/>
            <w:vAlign w:val="center"/>
          </w:tcPr>
          <w:p>
            <w:pPr>
              <w:pStyle w:val="Normal"/>
              <w:spacing w:lineRule="auto" w:line="240" w:before="0" w:after="0"/>
              <w:jc w:val="center"/>
              <w:rPr/>
            </w:pPr>
            <w:r>
              <w:rPr/>
              <w:t>21,5</w:t>
            </w:r>
          </w:p>
        </w:tc>
        <w:tc>
          <w:tcPr>
            <w:tcW w:w="796" w:type="dxa"/>
            <w:tcBorders/>
            <w:shd w:fill="auto" w:val="clear"/>
            <w:vAlign w:val="center"/>
          </w:tcPr>
          <w:p>
            <w:pPr>
              <w:pStyle w:val="Normal"/>
              <w:spacing w:lineRule="auto" w:line="240" w:before="0" w:after="0"/>
              <w:jc w:val="center"/>
              <w:rPr/>
            </w:pPr>
            <w:r>
              <w:rPr/>
              <w:t>22</w:t>
            </w:r>
          </w:p>
        </w:tc>
      </w:tr>
      <w:tr>
        <w:trPr/>
        <w:tc>
          <w:tcPr>
            <w:tcW w:w="5374" w:type="dxa"/>
            <w:tcBorders/>
            <w:shd w:fill="auto" w:val="clear"/>
          </w:tcPr>
          <w:p>
            <w:pPr>
              <w:pStyle w:val="Normal"/>
              <w:spacing w:lineRule="auto" w:line="240" w:before="0" w:after="0"/>
              <w:rPr/>
            </w:pPr>
            <w:r>
              <w:rPr/>
              <w:t>Площадь жилищ, приходящаяся в среднем  на одного жителя, кв. м</w:t>
            </w:r>
          </w:p>
        </w:tc>
        <w:tc>
          <w:tcPr>
            <w:tcW w:w="1386" w:type="dxa"/>
            <w:tcBorders/>
            <w:shd w:fill="auto" w:val="clear"/>
            <w:vAlign w:val="center"/>
          </w:tcPr>
          <w:p>
            <w:pPr>
              <w:pStyle w:val="Normal"/>
              <w:spacing w:lineRule="auto" w:line="240" w:before="0" w:after="0"/>
              <w:jc w:val="center"/>
              <w:rPr/>
            </w:pPr>
            <w:r>
              <w:rPr/>
              <w:t>28,5</w:t>
            </w:r>
          </w:p>
        </w:tc>
        <w:tc>
          <w:tcPr>
            <w:tcW w:w="1112" w:type="dxa"/>
            <w:tcBorders/>
            <w:shd w:fill="auto" w:val="clear"/>
            <w:vAlign w:val="center"/>
          </w:tcPr>
          <w:p>
            <w:pPr>
              <w:pStyle w:val="Normal"/>
              <w:spacing w:lineRule="auto" w:line="240" w:before="0" w:after="0"/>
              <w:jc w:val="center"/>
              <w:rPr/>
            </w:pPr>
            <w:r>
              <w:rPr/>
              <w:t>29,2</w:t>
            </w:r>
          </w:p>
        </w:tc>
        <w:tc>
          <w:tcPr>
            <w:tcW w:w="970" w:type="dxa"/>
            <w:tcBorders/>
            <w:shd w:fill="auto" w:val="clear"/>
            <w:vAlign w:val="center"/>
          </w:tcPr>
          <w:p>
            <w:pPr>
              <w:pStyle w:val="Normal"/>
              <w:spacing w:lineRule="auto" w:line="240" w:before="0" w:after="0"/>
              <w:jc w:val="center"/>
              <w:rPr/>
            </w:pPr>
            <w:r>
              <w:rPr/>
              <w:t>30,5</w:t>
            </w:r>
          </w:p>
        </w:tc>
        <w:tc>
          <w:tcPr>
            <w:tcW w:w="796" w:type="dxa"/>
            <w:tcBorders/>
            <w:shd w:fill="auto" w:val="clear"/>
            <w:vAlign w:val="center"/>
          </w:tcPr>
          <w:p>
            <w:pPr>
              <w:pStyle w:val="Normal"/>
              <w:spacing w:lineRule="auto" w:line="240" w:before="0" w:after="0"/>
              <w:jc w:val="center"/>
              <w:rPr/>
            </w:pPr>
            <w:r>
              <w:rPr/>
              <w:t>33,8</w:t>
            </w:r>
          </w:p>
        </w:tc>
      </w:tr>
      <w:tr>
        <w:trPr/>
        <w:tc>
          <w:tcPr>
            <w:tcW w:w="5374" w:type="dxa"/>
            <w:tcBorders/>
            <w:shd w:fill="auto" w:val="clear"/>
          </w:tcPr>
          <w:p>
            <w:pPr>
              <w:pStyle w:val="Normal"/>
              <w:spacing w:lineRule="auto" w:line="240" w:before="0" w:after="0"/>
              <w:rPr/>
            </w:pPr>
            <w:r>
              <w:rPr/>
              <w:t>Ветхий и аварийный жилищный фонд, тыс. кв. м.</w:t>
            </w:r>
          </w:p>
        </w:tc>
        <w:tc>
          <w:tcPr>
            <w:tcW w:w="1386" w:type="dxa"/>
            <w:tcBorders/>
            <w:shd w:fill="auto" w:val="clear"/>
            <w:vAlign w:val="center"/>
          </w:tcPr>
          <w:p>
            <w:pPr>
              <w:pStyle w:val="Normal"/>
              <w:spacing w:lineRule="auto" w:line="240" w:before="0" w:after="0"/>
              <w:jc w:val="center"/>
              <w:rPr/>
            </w:pPr>
            <w:r>
              <w:rPr/>
              <w:t>2,8</w:t>
            </w:r>
          </w:p>
        </w:tc>
        <w:tc>
          <w:tcPr>
            <w:tcW w:w="1112" w:type="dxa"/>
            <w:tcBorders/>
            <w:shd w:fill="auto" w:val="clear"/>
            <w:vAlign w:val="center"/>
          </w:tcPr>
          <w:p>
            <w:pPr>
              <w:pStyle w:val="Normal"/>
              <w:spacing w:lineRule="auto" w:line="240" w:before="0" w:after="0"/>
              <w:jc w:val="center"/>
              <w:rPr/>
            </w:pPr>
            <w:r>
              <w:rPr/>
              <w:t>2,1</w:t>
            </w:r>
          </w:p>
        </w:tc>
        <w:tc>
          <w:tcPr>
            <w:tcW w:w="970" w:type="dxa"/>
            <w:tcBorders/>
            <w:shd w:fill="auto" w:val="clear"/>
            <w:vAlign w:val="center"/>
          </w:tcPr>
          <w:p>
            <w:pPr>
              <w:pStyle w:val="Normal"/>
              <w:spacing w:lineRule="auto" w:line="240" w:before="0" w:after="0"/>
              <w:jc w:val="center"/>
              <w:rPr/>
            </w:pPr>
            <w:r>
              <w:rPr/>
              <w:t>1,6</w:t>
            </w:r>
          </w:p>
        </w:tc>
        <w:tc>
          <w:tcPr>
            <w:tcW w:w="796" w:type="dxa"/>
            <w:tcBorders/>
            <w:shd w:fill="auto" w:val="clear"/>
            <w:vAlign w:val="center"/>
          </w:tcPr>
          <w:p>
            <w:pPr>
              <w:pStyle w:val="Normal"/>
              <w:spacing w:lineRule="auto" w:line="240" w:before="0" w:after="0"/>
              <w:jc w:val="center"/>
              <w:rPr/>
            </w:pPr>
            <w:r>
              <w:rPr/>
              <w:t>0</w:t>
            </w:r>
          </w:p>
        </w:tc>
      </w:tr>
    </w:tbl>
    <w:p>
      <w:pPr>
        <w:pStyle w:val="ListParagraph"/>
        <w:ind w:left="1056" w:hanging="0"/>
        <w:jc w:val="both"/>
        <w:rPr>
          <w:rFonts w:eastAsia="Calibri" w:cs="Times New Roman"/>
          <w:b/>
          <w:b/>
          <w:sz w:val="28"/>
          <w:szCs w:val="28"/>
        </w:rPr>
      </w:pPr>
      <w:r>
        <w:rPr>
          <w:rFonts w:eastAsia="Calibri" w:cs="Times New Roman"/>
          <w:b/>
          <w:sz w:val="28"/>
          <w:szCs w:val="28"/>
        </w:rPr>
      </w:r>
    </w:p>
    <w:p>
      <w:pPr>
        <w:pStyle w:val="ListParagraph"/>
        <w:tabs>
          <w:tab w:val="clear" w:pos="708"/>
          <w:tab w:val="left" w:pos="851" w:leader="none"/>
        </w:tabs>
        <w:ind w:left="0" w:firstLine="709"/>
        <w:jc w:val="both"/>
        <w:rPr>
          <w:rFonts w:eastAsia="Calibri" w:cs="Times New Roman"/>
          <w:b/>
          <w:b/>
          <w:sz w:val="28"/>
          <w:szCs w:val="28"/>
        </w:rPr>
      </w:pPr>
      <w:r>
        <w:rPr>
          <w:rFonts w:eastAsia="Calibri" w:cs="Times New Roman"/>
          <w:b/>
          <w:sz w:val="28"/>
          <w:szCs w:val="28"/>
        </w:rPr>
        <w:t>Задачи:</w:t>
      </w:r>
    </w:p>
    <w:p>
      <w:pPr>
        <w:pStyle w:val="ConsPlusNonformat"/>
        <w:widowControl/>
        <w:numPr>
          <w:ilvl w:val="0"/>
          <w:numId w:val="44"/>
        </w:numPr>
        <w:tabs>
          <w:tab w:val="clear" w:pos="708"/>
          <w:tab w:val="left" w:pos="851" w:leader="none"/>
          <w:tab w:val="left" w:pos="1134" w:leader="none"/>
        </w:tabs>
        <w:ind w:left="0" w:firstLine="709"/>
        <w:jc w:val="both"/>
        <w:rPr>
          <w:rFonts w:ascii="Times New Roman" w:hAnsi="Times New Roman" w:cs="Times New Roman"/>
          <w:b/>
          <w:b/>
          <w:sz w:val="28"/>
          <w:szCs w:val="28"/>
        </w:rPr>
      </w:pPr>
      <w:r>
        <w:rPr>
          <w:rFonts w:cs="Times New Roman" w:ascii="Times New Roman" w:hAnsi="Times New Roman"/>
          <w:color w:val="000000" w:themeColor="text1"/>
          <w:sz w:val="28"/>
          <w:szCs w:val="28"/>
        </w:rPr>
        <w:t>Создание условий для привлечения застройщиков на территорию Тереньгульского района:</w:t>
      </w:r>
    </w:p>
    <w:p>
      <w:pPr>
        <w:pStyle w:val="ConsPlusNonformat"/>
        <w:widowControl/>
        <w:tabs>
          <w:tab w:val="clear" w:pos="708"/>
          <w:tab w:val="left" w:pos="851" w:leader="none"/>
          <w:tab w:val="left" w:pos="1134"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предоставление земельных участков под строительство, обеспеченных необходимой инженерной инфраструктурой;</w:t>
      </w:r>
    </w:p>
    <w:p>
      <w:pPr>
        <w:pStyle w:val="ConsPlusNonformat"/>
        <w:widowControl/>
        <w:tabs>
          <w:tab w:val="clear" w:pos="708"/>
          <w:tab w:val="left" w:pos="1134"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передача в аренду земельных участков застройщикам на льготных условиях;</w:t>
      </w:r>
    </w:p>
    <w:p>
      <w:pPr>
        <w:pStyle w:val="ConsPlusNonformat"/>
        <w:widowControl/>
        <w:tabs>
          <w:tab w:val="clear" w:pos="708"/>
          <w:tab w:val="left" w:pos="1134"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предоставление гарантий продажи готовых квартир или домов муниципалитетом через выкуп жилых помещений для специалистов, льготных категорий граждан и участие в госпрограммах по обеспечению жильем детей-сирот и программах переселения из ветхого и аварийного жилья.</w:t>
      </w:r>
    </w:p>
    <w:p>
      <w:pPr>
        <w:pStyle w:val="ListParagraph"/>
        <w:numPr>
          <w:ilvl w:val="0"/>
          <w:numId w:val="44"/>
        </w:numPr>
        <w:tabs>
          <w:tab w:val="clear" w:pos="708"/>
          <w:tab w:val="left" w:pos="1134" w:leader="none"/>
        </w:tabs>
        <w:suppressAutoHyphens w:val="false"/>
        <w:ind w:left="0" w:firstLine="709"/>
        <w:jc w:val="both"/>
        <w:rPr>
          <w:rFonts w:cs="Times New Roman"/>
          <w:color w:val="000000" w:themeColor="text1"/>
          <w:sz w:val="28"/>
          <w:szCs w:val="28"/>
        </w:rPr>
      </w:pPr>
      <w:r>
        <w:rPr>
          <w:rFonts w:cs="Times New Roman"/>
          <w:color w:val="000000"/>
          <w:sz w:val="28"/>
          <w:szCs w:val="28"/>
          <w:shd w:fill="FFFFFF" w:val="clear"/>
        </w:rPr>
        <w:t xml:space="preserve">Рост обеспеченности жильём на 1 человека на 15% к 2030 году за счёт строительства как минимум одного многоквартирного дома (24 квартиры) в год. </w:t>
      </w:r>
    </w:p>
    <w:p>
      <w:pPr>
        <w:pStyle w:val="ListParagraph"/>
        <w:numPr>
          <w:ilvl w:val="0"/>
          <w:numId w:val="44"/>
        </w:numPr>
        <w:tabs>
          <w:tab w:val="clear" w:pos="708"/>
          <w:tab w:val="left" w:pos="1134" w:leader="none"/>
        </w:tabs>
        <w:suppressAutoHyphens w:val="false"/>
        <w:ind w:left="0" w:firstLine="709"/>
        <w:jc w:val="both"/>
        <w:rPr>
          <w:rFonts w:cs="Times New Roman"/>
          <w:color w:val="000000" w:themeColor="text1"/>
          <w:sz w:val="28"/>
          <w:szCs w:val="28"/>
        </w:rPr>
      </w:pPr>
      <w:r>
        <w:rPr>
          <w:rFonts w:cs="Times New Roman"/>
          <w:color w:val="000000" w:themeColor="text1"/>
          <w:sz w:val="28"/>
          <w:szCs w:val="28"/>
        </w:rPr>
        <w:t>100 % обеспечение жильём льготных категорий граждан до 2030 года путем участия муниципального образования в государственных и областных программах по предоставлению жилья детям сиротам, работа с льготными категориями граждан (ветераны ВОВ, молодые семьи) по использованию сертификата на приобретение жилья в новом жилом фонде на территории Тереньгульского района.</w:t>
      </w:r>
    </w:p>
    <w:p>
      <w:pPr>
        <w:pStyle w:val="ListParagraph"/>
        <w:numPr>
          <w:ilvl w:val="0"/>
          <w:numId w:val="44"/>
        </w:numPr>
        <w:tabs>
          <w:tab w:val="clear" w:pos="708"/>
          <w:tab w:val="left" w:pos="1134" w:leader="none"/>
        </w:tabs>
        <w:suppressAutoHyphens w:val="false"/>
        <w:ind w:left="0" w:firstLine="709"/>
        <w:jc w:val="both"/>
        <w:rPr>
          <w:rFonts w:cs="Times New Roman"/>
          <w:sz w:val="28"/>
          <w:szCs w:val="28"/>
        </w:rPr>
      </w:pPr>
      <w:r>
        <w:rPr>
          <w:rFonts w:cs="Times New Roman"/>
          <w:sz w:val="28"/>
          <w:szCs w:val="28"/>
        </w:rPr>
        <w:t>Обеспечение 100% нуждающихся многодетных семей бесплатными земельными участками, предусмотренными федеральным законодательством.</w:t>
      </w:r>
    </w:p>
    <w:p>
      <w:pPr>
        <w:pStyle w:val="ListParagraph"/>
        <w:numPr>
          <w:ilvl w:val="0"/>
          <w:numId w:val="44"/>
        </w:numPr>
        <w:tabs>
          <w:tab w:val="clear" w:pos="708"/>
          <w:tab w:val="left" w:pos="1134" w:leader="none"/>
        </w:tabs>
        <w:suppressAutoHyphens w:val="false"/>
        <w:ind w:left="0" w:firstLine="709"/>
        <w:jc w:val="both"/>
        <w:rPr>
          <w:rFonts w:cs="Times New Roman"/>
          <w:sz w:val="28"/>
          <w:szCs w:val="28"/>
        </w:rPr>
      </w:pPr>
      <w:r>
        <w:rPr>
          <w:rFonts w:cs="Times New Roman"/>
          <w:sz w:val="28"/>
          <w:szCs w:val="28"/>
        </w:rPr>
        <w:t xml:space="preserve">Выполнение </w:t>
      </w:r>
      <w:r>
        <w:rPr>
          <w:rFonts w:cs="Times New Roman"/>
          <w:color w:val="000000" w:themeColor="text1"/>
          <w:sz w:val="28"/>
          <w:szCs w:val="28"/>
        </w:rPr>
        <w:t>планов ввода жилья эконом-класса</w:t>
      </w:r>
      <w:r>
        <w:rPr>
          <w:rFonts w:cs="Times New Roman"/>
          <w:sz w:val="28"/>
          <w:szCs w:val="28"/>
        </w:rPr>
        <w:t xml:space="preserve"> в соответствии с Указом Президента № 600 «</w:t>
      </w:r>
      <w:r>
        <w:rPr>
          <w:rFonts w:cs="Times New Roman"/>
          <w:bCs/>
          <w:sz w:val="28"/>
          <w:szCs w:val="28"/>
          <w:shd w:fill="FFFFFF" w:val="clear"/>
        </w:rPr>
        <w:t>О мерах по обеспечению граждан Российской Федерации доступным и комфортным жильем и повышению качества жилищно-коммунальных услуг</w:t>
      </w:r>
      <w:r>
        <w:rPr>
          <w:rFonts w:cs="Times New Roman"/>
          <w:sz w:val="28"/>
          <w:szCs w:val="28"/>
        </w:rPr>
        <w:t>».</w:t>
      </w:r>
    </w:p>
    <w:p>
      <w:pPr>
        <w:pStyle w:val="ListParagraph"/>
        <w:numPr>
          <w:ilvl w:val="0"/>
          <w:numId w:val="44"/>
        </w:numPr>
        <w:tabs>
          <w:tab w:val="clear" w:pos="708"/>
          <w:tab w:val="left" w:pos="1134" w:leader="none"/>
        </w:tabs>
        <w:suppressAutoHyphens w:val="false"/>
        <w:ind w:left="0" w:firstLine="709"/>
        <w:jc w:val="both"/>
        <w:rPr>
          <w:rFonts w:cs="Times New Roman"/>
          <w:sz w:val="28"/>
          <w:szCs w:val="28"/>
        </w:rPr>
      </w:pPr>
      <w:r>
        <w:rPr>
          <w:rFonts w:cs="Times New Roman"/>
          <w:sz w:val="28"/>
          <w:szCs w:val="28"/>
        </w:rPr>
        <w:t xml:space="preserve">Снижение себестоимости 1 квадратного метра в новом жилом фонде </w:t>
      </w:r>
      <w:r>
        <w:rPr>
          <w:rFonts w:cs="Times New Roman"/>
          <w:color w:val="000000" w:themeColor="text1"/>
          <w:sz w:val="28"/>
          <w:szCs w:val="28"/>
        </w:rPr>
        <w:t>путём обеспечения выделяемого земельного участка всей необходимой инженерной инфраструктурой, так как стоимость строительства инфраструктуры застройщик «закладывает» в стоимость квадратного метра. В среднем это дополнительные 4 тысячи рублей на квадратный метр жилой площади.</w:t>
      </w:r>
    </w:p>
    <w:p>
      <w:pPr>
        <w:pStyle w:val="ListParagraph"/>
        <w:numPr>
          <w:ilvl w:val="0"/>
          <w:numId w:val="44"/>
        </w:numPr>
        <w:tabs>
          <w:tab w:val="clear" w:pos="708"/>
          <w:tab w:val="left" w:pos="1134" w:leader="none"/>
        </w:tabs>
        <w:suppressAutoHyphens w:val="false"/>
        <w:ind w:left="0" w:firstLine="709"/>
        <w:jc w:val="both"/>
        <w:rPr>
          <w:rFonts w:cs="Times New Roman"/>
          <w:color w:val="000000" w:themeColor="text1"/>
          <w:sz w:val="28"/>
          <w:szCs w:val="28"/>
        </w:rPr>
      </w:pPr>
      <w:r>
        <w:rPr>
          <w:rFonts w:cs="Times New Roman"/>
          <w:color w:val="000000" w:themeColor="text1"/>
          <w:sz w:val="28"/>
          <w:szCs w:val="28"/>
        </w:rPr>
        <w:t>Создание условий для повышения доступности жилья для всех категорий граждан на территории Тереньгульского района через разработку муниципальной программы «Губернаторская ипотека для населения МО «Тереньгульский район» до 2030 года», которая предполагает проработку мер по стимулированию населения Тереньгульского района покупки жилья именного в данном районе.</w:t>
      </w:r>
    </w:p>
    <w:p>
      <w:pPr>
        <w:pStyle w:val="ListParagraph"/>
        <w:numPr>
          <w:ilvl w:val="0"/>
          <w:numId w:val="44"/>
        </w:numPr>
        <w:tabs>
          <w:tab w:val="clear" w:pos="708"/>
          <w:tab w:val="left" w:pos="360" w:leader="none"/>
          <w:tab w:val="left" w:pos="567" w:leader="none"/>
          <w:tab w:val="left" w:pos="709" w:leader="none"/>
          <w:tab w:val="left" w:pos="851" w:leader="none"/>
          <w:tab w:val="left" w:pos="1134" w:leader="none"/>
        </w:tabs>
        <w:suppressAutoHyphens w:val="false"/>
        <w:ind w:left="0" w:firstLine="709"/>
        <w:jc w:val="both"/>
        <w:rPr>
          <w:rFonts w:cs="Times New Roman"/>
          <w:color w:val="000000" w:themeColor="text1"/>
          <w:sz w:val="28"/>
          <w:szCs w:val="28"/>
        </w:rPr>
      </w:pPr>
      <w:r>
        <w:rPr>
          <w:rFonts w:cs="Times New Roman"/>
          <w:color w:val="000000" w:themeColor="text1"/>
          <w:sz w:val="28"/>
          <w:szCs w:val="28"/>
        </w:rPr>
        <w:t>Ликвидация ветхого жилищного фонда:</w:t>
      </w:r>
    </w:p>
    <w:p>
      <w:pPr>
        <w:pStyle w:val="ListParagraph"/>
        <w:tabs>
          <w:tab w:val="clear" w:pos="708"/>
          <w:tab w:val="left" w:pos="360" w:leader="none"/>
          <w:tab w:val="left" w:pos="567" w:leader="none"/>
          <w:tab w:val="left" w:pos="709" w:leader="none"/>
          <w:tab w:val="left" w:pos="851" w:leader="none"/>
          <w:tab w:val="left" w:pos="1134" w:leader="none"/>
        </w:tabs>
        <w:ind w:left="709" w:hanging="0"/>
        <w:jc w:val="both"/>
        <w:rPr>
          <w:rFonts w:cs="Times New Roman"/>
          <w:color w:val="000000" w:themeColor="text1"/>
          <w:sz w:val="28"/>
          <w:szCs w:val="28"/>
        </w:rPr>
      </w:pPr>
      <w:r>
        <w:rPr>
          <w:rFonts w:cs="Times New Roman"/>
          <w:color w:val="000000" w:themeColor="text1"/>
          <w:sz w:val="28"/>
          <w:szCs w:val="28"/>
        </w:rPr>
        <w:t>- участие в программах переселения граждан из ветхого и аварийного жилого фонда.</w:t>
      </w:r>
    </w:p>
    <w:p>
      <w:pPr>
        <w:pStyle w:val="ListParagraph"/>
        <w:numPr>
          <w:ilvl w:val="0"/>
          <w:numId w:val="44"/>
        </w:numPr>
        <w:tabs>
          <w:tab w:val="clear" w:pos="708"/>
          <w:tab w:val="left" w:pos="360" w:leader="none"/>
          <w:tab w:val="left" w:pos="567" w:leader="none"/>
          <w:tab w:val="left" w:pos="709" w:leader="none"/>
          <w:tab w:val="left" w:pos="851" w:leader="none"/>
          <w:tab w:val="left" w:pos="1134" w:leader="none"/>
        </w:tabs>
        <w:suppressAutoHyphens w:val="false"/>
        <w:ind w:left="0" w:firstLine="709"/>
        <w:jc w:val="both"/>
        <w:rPr>
          <w:rFonts w:cs="Times New Roman"/>
          <w:color w:val="000000" w:themeColor="text1"/>
          <w:sz w:val="28"/>
          <w:szCs w:val="28"/>
        </w:rPr>
      </w:pPr>
      <w:r>
        <w:rPr>
          <w:rFonts w:cs="Times New Roman"/>
          <w:color w:val="000000" w:themeColor="text1"/>
          <w:sz w:val="28"/>
          <w:szCs w:val="28"/>
        </w:rPr>
        <w:t>Приведение в соответствие действующему законодательству документов градостроительной деятельности Тереньгульского района:</w:t>
      </w:r>
    </w:p>
    <w:p>
      <w:pPr>
        <w:pStyle w:val="Normal"/>
        <w:tabs>
          <w:tab w:val="clear" w:pos="708"/>
          <w:tab w:val="left" w:pos="360" w:leader="none"/>
          <w:tab w:val="left" w:pos="567" w:leader="none"/>
          <w:tab w:val="left" w:pos="709" w:leader="none"/>
          <w:tab w:val="left" w:pos="851" w:leader="none"/>
          <w:tab w:val="left" w:pos="1134" w:leader="none"/>
        </w:tabs>
        <w:ind w:firstLine="709"/>
        <w:jc w:val="both"/>
        <w:rPr>
          <w:rFonts w:cs="Times New Roman"/>
          <w:color w:val="000000" w:themeColor="text1"/>
          <w:sz w:val="28"/>
          <w:szCs w:val="28"/>
        </w:rPr>
      </w:pPr>
      <w:r>
        <w:rPr>
          <w:rFonts w:cs="Times New Roman"/>
          <w:color w:val="000000" w:themeColor="text1"/>
          <w:sz w:val="28"/>
          <w:szCs w:val="28"/>
        </w:rPr>
        <w:t xml:space="preserve">- актуализация схемы территориального планирования района; </w:t>
      </w:r>
    </w:p>
    <w:p>
      <w:pPr>
        <w:pStyle w:val="Normal"/>
        <w:tabs>
          <w:tab w:val="clear" w:pos="708"/>
          <w:tab w:val="left" w:pos="360" w:leader="none"/>
          <w:tab w:val="left" w:pos="567" w:leader="none"/>
          <w:tab w:val="left" w:pos="709" w:leader="none"/>
          <w:tab w:val="left" w:pos="851" w:leader="none"/>
          <w:tab w:val="left" w:pos="1134" w:leader="none"/>
        </w:tabs>
        <w:ind w:firstLine="709"/>
        <w:jc w:val="both"/>
        <w:rPr>
          <w:rFonts w:cs="Times New Roman"/>
          <w:color w:val="000000" w:themeColor="text1"/>
          <w:sz w:val="28"/>
          <w:szCs w:val="28"/>
        </w:rPr>
      </w:pPr>
      <w:r>
        <w:rPr>
          <w:rFonts w:cs="Times New Roman"/>
          <w:color w:val="000000" w:themeColor="text1"/>
          <w:sz w:val="28"/>
          <w:szCs w:val="28"/>
        </w:rPr>
        <w:t>- актуализация генеральных планов поселений;</w:t>
      </w:r>
    </w:p>
    <w:p>
      <w:pPr>
        <w:pStyle w:val="Normal"/>
        <w:tabs>
          <w:tab w:val="clear" w:pos="708"/>
          <w:tab w:val="left" w:pos="360" w:leader="none"/>
          <w:tab w:val="left" w:pos="567" w:leader="none"/>
          <w:tab w:val="left" w:pos="709" w:leader="none"/>
          <w:tab w:val="left" w:pos="851" w:leader="none"/>
          <w:tab w:val="left" w:pos="1134" w:leader="none"/>
        </w:tabs>
        <w:ind w:firstLine="709"/>
        <w:jc w:val="both"/>
        <w:rPr>
          <w:rFonts w:cs="Times New Roman"/>
          <w:color w:val="000000" w:themeColor="text1"/>
          <w:sz w:val="28"/>
          <w:szCs w:val="28"/>
        </w:rPr>
      </w:pPr>
      <w:r>
        <w:rPr>
          <w:rFonts w:cs="Times New Roman"/>
          <w:color w:val="000000" w:themeColor="text1"/>
          <w:sz w:val="28"/>
          <w:szCs w:val="28"/>
        </w:rPr>
        <w:t>- актуализация правил землепользования и застройки поселений Тереньгульского района.</w:t>
      </w:r>
    </w:p>
    <w:p>
      <w:pPr>
        <w:pStyle w:val="Default"/>
        <w:ind w:firstLine="709"/>
        <w:jc w:val="both"/>
        <w:rPr>
          <w:rFonts w:ascii="Times New Roman" w:hAnsi="Times New Roman" w:cs="Times New Roman"/>
          <w:sz w:val="28"/>
          <w:szCs w:val="28"/>
        </w:rPr>
      </w:pPr>
      <w:r>
        <w:rPr>
          <w:rFonts w:cs="Times New Roman" w:ascii="Times New Roman" w:hAnsi="Times New Roman"/>
          <w:color w:val="auto"/>
          <w:sz w:val="28"/>
          <w:szCs w:val="28"/>
        </w:rPr>
        <w:t xml:space="preserve">Обозначенные цели и задачи по развитию сферы строительства Тереньгульского района в целом соответствует поставленным целям и задачам, в части строительства, отраженные </w:t>
      </w:r>
      <w:r>
        <w:rPr>
          <w:rFonts w:cs="Times New Roman" w:ascii="Times New Roman" w:hAnsi="Times New Roman"/>
          <w:sz w:val="28"/>
          <w:szCs w:val="28"/>
        </w:rPr>
        <w:t>в Указе Президента Российской Федерации от 07.05.2018 г. № 204 «О национальных целях и стратегических задачах развития Российской Федерации на период до 2024 года», и, соответственно, национальному проекту «Жилье и городская среда».</w:t>
      </w:r>
    </w:p>
    <w:p>
      <w:pPr>
        <w:pStyle w:val="NoSpacing"/>
        <w:ind w:firstLine="709"/>
        <w:rPr>
          <w:rFonts w:ascii="Times New Roman" w:hAnsi="Times New Roman"/>
          <w:sz w:val="28"/>
          <w:szCs w:val="28"/>
        </w:rPr>
      </w:pPr>
      <w:r>
        <w:rPr>
          <w:rFonts w:ascii="Times New Roman" w:hAnsi="Times New Roman"/>
          <w:sz w:val="28"/>
          <w:szCs w:val="28"/>
        </w:rPr>
      </w:r>
    </w:p>
    <w:p>
      <w:pPr>
        <w:pStyle w:val="Normal"/>
        <w:rPr/>
      </w:pPr>
      <w:bookmarkStart w:id="52" w:name="_Toc4405017"/>
      <w:r>
        <w:rPr/>
        <w:t>2.2.3. Развитие сельского хозяйства</w:t>
      </w:r>
      <w:bookmarkEnd w:id="52"/>
      <w:r>
        <w:rPr/>
        <w:t xml:space="preserve"> </w:t>
      </w:r>
    </w:p>
    <w:p>
      <w:pPr>
        <w:pStyle w:val="Normal"/>
        <w:shd w:val="clear" w:color="auto" w:fill="FFFFFF"/>
        <w:ind w:firstLine="709"/>
        <w:jc w:val="both"/>
        <w:rPr>
          <w:rFonts w:cs="Times New Roman"/>
          <w:sz w:val="28"/>
          <w:szCs w:val="28"/>
          <w:lang w:eastAsia="ru-RU"/>
        </w:rPr>
      </w:pPr>
      <w:r>
        <w:rPr>
          <w:rFonts w:eastAsia="Calibri" w:cs="Times New Roman"/>
          <w:sz w:val="28"/>
          <w:szCs w:val="28"/>
          <w:shd w:fill="FFFFFF" w:val="clear"/>
        </w:rPr>
        <w:t xml:space="preserve">Стратегическими приоритетами в районе становятся </w:t>
      </w:r>
      <w:r>
        <w:rPr>
          <w:rFonts w:cs="Times New Roman"/>
          <w:sz w:val="28"/>
          <w:szCs w:val="28"/>
          <w:lang w:eastAsia="ru-RU"/>
        </w:rPr>
        <w:t>развитие и реализация стимулов для эффективного производства сельскохозяйственной продукции, как материальной основы обеспечения экономического роста в агропромышленном комплексе; повышение качества жизни сельского населения и достижение продовольственной безопасности; повышение конкурентоспособности сельскохозяйственной продукции.</w:t>
      </w:r>
    </w:p>
    <w:p>
      <w:pPr>
        <w:pStyle w:val="Normal"/>
        <w:ind w:firstLine="709"/>
        <w:jc w:val="both"/>
        <w:rPr>
          <w:rFonts w:eastAsia="Calibri" w:cs="Times New Roman"/>
          <w:b/>
          <w:b/>
          <w:i/>
          <w:i/>
          <w:sz w:val="28"/>
          <w:szCs w:val="28"/>
        </w:rPr>
      </w:pPr>
      <w:r>
        <w:rPr>
          <w:rFonts w:eastAsia="Calibri" w:cs="Times New Roman"/>
          <w:b/>
          <w:i/>
          <w:sz w:val="28"/>
          <w:szCs w:val="28"/>
        </w:rPr>
        <w:t>Подцель - создание эффективной экономики с высокой производительностью труда, достойным уровнем заработной платы, возрастающей ролью малого бизнеса.</w:t>
      </w:r>
    </w:p>
    <w:p>
      <w:pPr>
        <w:pStyle w:val="32"/>
        <w:rPr>
          <w:rFonts w:eastAsia="Calibri"/>
          <w:i w:val="false"/>
          <w:i w:val="false"/>
        </w:rPr>
      </w:pPr>
      <w:bookmarkStart w:id="53" w:name="_Toc4405018"/>
      <w:r>
        <w:rPr>
          <w:rFonts w:eastAsia="Calibri"/>
          <w:i w:val="false"/>
        </w:rPr>
        <w:t>2.2.3.1. Продовольственная безопасность и экспортный потенциал</w:t>
      </w:r>
      <w:bookmarkEnd w:id="53"/>
      <w:r>
        <w:rPr>
          <w:rFonts w:eastAsia="Calibri"/>
          <w:i w:val="false"/>
        </w:rPr>
        <w:t xml:space="preserve"> </w:t>
      </w:r>
    </w:p>
    <w:p>
      <w:pPr>
        <w:pStyle w:val="Normal"/>
        <w:spacing w:before="0" w:after="0"/>
        <w:ind w:firstLine="709"/>
        <w:contextualSpacing/>
        <w:jc w:val="both"/>
        <w:rPr>
          <w:rFonts w:eastAsia="Calibri" w:cs="Times New Roman"/>
          <w:b/>
          <w:b/>
          <w:i/>
          <w:i/>
          <w:sz w:val="28"/>
          <w:szCs w:val="28"/>
          <w:lang w:eastAsia="ru-RU"/>
        </w:rPr>
      </w:pPr>
      <w:r>
        <w:rPr>
          <w:rFonts w:eastAsia="Calibri" w:cs="Times New Roman"/>
          <w:b/>
          <w:i/>
          <w:sz w:val="28"/>
          <w:szCs w:val="28"/>
        </w:rPr>
        <w:t>Подцель</w:t>
      </w:r>
      <w:r>
        <w:rPr>
          <w:rFonts w:eastAsia="Calibri" w:cs="Times New Roman"/>
          <w:b/>
          <w:sz w:val="28"/>
          <w:szCs w:val="28"/>
        </w:rPr>
        <w:t xml:space="preserve"> -</w:t>
      </w:r>
      <w:r>
        <w:rPr>
          <w:rFonts w:eastAsia="Calibri" w:cs="Times New Roman"/>
          <w:b/>
          <w:i/>
          <w:sz w:val="28"/>
          <w:szCs w:val="28"/>
          <w:lang w:eastAsia="ru-RU"/>
        </w:rPr>
        <w:t xml:space="preserve"> ежегодное обеспечение среднегодового темпа прироста производства продукции сельского хозяйства в 1,3%.</w:t>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noVBand="1" w:val="04a0" w:noHBand="0" w:lastColumn="0" w:firstColumn="1" w:lastRow="0" w:firstRow="1"/>
      </w:tblPr>
      <w:tblGrid>
        <w:gridCol w:w="4253"/>
        <w:gridCol w:w="1704"/>
        <w:gridCol w:w="1275"/>
        <w:gridCol w:w="1273"/>
        <w:gridCol w:w="1100"/>
      </w:tblGrid>
      <w:tr>
        <w:trPr/>
        <w:tc>
          <w:tcPr>
            <w:tcW w:w="4253"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lang w:eastAsia="ru-RU"/>
              </w:rPr>
              <w:t>Среднегодовой темп прироста производства продукции сельского хозяйства,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1,3</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1,3</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1,3</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1,3</w:t>
            </w:r>
          </w:p>
        </w:tc>
      </w:tr>
    </w:tbl>
    <w:p>
      <w:pPr>
        <w:pStyle w:val="Normal"/>
        <w:ind w:firstLine="709"/>
        <w:jc w:val="both"/>
        <w:rPr>
          <w:rFonts w:eastAsia="Calibri" w:cs="Times New Roman"/>
          <w:b/>
          <w:b/>
          <w:sz w:val="28"/>
          <w:szCs w:val="28"/>
        </w:rPr>
      </w:pPr>
      <w:r>
        <w:rPr>
          <w:rFonts w:eastAsia="Calibri" w:cs="Times New Roman"/>
          <w:b/>
          <w:sz w:val="28"/>
          <w:szCs w:val="28"/>
        </w:rPr>
      </w:r>
    </w:p>
    <w:p>
      <w:pPr>
        <w:pStyle w:val="Normal"/>
        <w:ind w:firstLine="709"/>
        <w:jc w:val="both"/>
        <w:rPr>
          <w:rFonts w:eastAsia="Calibri" w:cs="Times New Roman"/>
          <w:b/>
          <w:b/>
          <w:sz w:val="28"/>
          <w:szCs w:val="28"/>
        </w:rPr>
      </w:pPr>
      <w:r>
        <w:rPr>
          <w:rFonts w:eastAsia="Calibri" w:cs="Times New Roman"/>
          <w:b/>
          <w:sz w:val="28"/>
          <w:szCs w:val="28"/>
        </w:rPr>
        <w:t>Задачи:</w:t>
      </w:r>
    </w:p>
    <w:p>
      <w:pPr>
        <w:pStyle w:val="Normal"/>
        <w:ind w:firstLine="709"/>
        <w:jc w:val="both"/>
        <w:rPr>
          <w:rFonts w:eastAsia="Calibri" w:cs="Times New Roman"/>
          <w:sz w:val="28"/>
          <w:szCs w:val="28"/>
        </w:rPr>
      </w:pPr>
      <w:r>
        <w:rPr>
          <w:rFonts w:eastAsia="Calibri" w:cs="Times New Roman"/>
          <w:sz w:val="28"/>
          <w:szCs w:val="28"/>
        </w:rPr>
        <w:t>1. Увеличение объёмов производства и улучшение качества продукции животноводства и растениеводства для обеспечения полной загрузки существующих и вводимых в эксплуатацию новых производственных мощностей предприятий пищевой и перерабатывающей промышленности за счёт освоения новых перспективных технологий производства и переработки сельхозпродукции, в том числе современных технологий земледелия, методов защиты растений, противоэпизоотических мероприятий и диагностических исследований, а также глубокой переработки сельскохозяйственного сырья и биотехнологий, повышения доступности новых технологий для среднего и малого бизнеса, фермерских хозяйств и индивидуальных производителей, выравнивания технологического уровня оснащенности крупных и средних производств.</w:t>
      </w:r>
    </w:p>
    <w:p>
      <w:pPr>
        <w:pStyle w:val="Normal"/>
        <w:ind w:firstLine="709"/>
        <w:jc w:val="both"/>
        <w:rPr>
          <w:rFonts w:eastAsia="Calibri" w:cs="Times New Roman"/>
          <w:color w:val="000000"/>
        </w:rPr>
      </w:pPr>
      <w:r>
        <w:rPr>
          <w:rFonts w:eastAsia="Calibri" w:cs="Times New Roman"/>
          <w:color w:val="000000"/>
          <w:sz w:val="28"/>
          <w:szCs w:val="28"/>
        </w:rPr>
        <w:t>2. Повышение инвестиционной привлекательности отрасли сельского хозяйства района в целях осуществления технического перевооружения, реконструкции и строительства новых предприятий на основе применения инновационных технологий и ресурсосберегающего оборудования.</w:t>
      </w:r>
    </w:p>
    <w:p>
      <w:pPr>
        <w:pStyle w:val="Normal"/>
        <w:ind w:firstLine="709"/>
        <w:jc w:val="both"/>
        <w:rPr>
          <w:rFonts w:eastAsia="Calibri" w:cs="Times New Roman"/>
          <w:color w:val="000000"/>
        </w:rPr>
      </w:pPr>
      <w:r>
        <w:rPr>
          <w:rFonts w:eastAsia="Calibri" w:cs="Times New Roman"/>
          <w:color w:val="000000"/>
          <w:sz w:val="28"/>
          <w:szCs w:val="28"/>
        </w:rPr>
        <w:t>3. Содействие реализации инвестиционных проектов, находящихся в настоящее время на различных этапах.</w:t>
      </w:r>
    </w:p>
    <w:p>
      <w:pPr>
        <w:pStyle w:val="Normal"/>
        <w:shd w:val="clear" w:color="auto" w:fill="FFFFFF"/>
        <w:ind w:firstLine="709"/>
        <w:jc w:val="both"/>
        <w:rPr>
          <w:rFonts w:cs="Times New Roman"/>
          <w:sz w:val="28"/>
          <w:szCs w:val="28"/>
          <w:lang w:eastAsia="ru-RU"/>
        </w:rPr>
      </w:pPr>
      <w:r>
        <w:rPr>
          <w:rFonts w:eastAsia="Calibri" w:cs="Times New Roman"/>
          <w:sz w:val="28"/>
          <w:szCs w:val="28"/>
        </w:rPr>
        <w:t xml:space="preserve">4. Усиление интеграции сельскохозяйственного производства </w:t>
      </w:r>
      <w:r>
        <w:rPr>
          <w:rFonts w:cs="Times New Roman"/>
          <w:sz w:val="28"/>
          <w:szCs w:val="28"/>
          <w:lang w:eastAsia="ru-RU"/>
        </w:rPr>
        <w:t>с другими сферами, а именно: с переработкой, хранением, транспортировкой и реализацией сельскохозяйственной продукции.</w:t>
      </w:r>
    </w:p>
    <w:p>
      <w:pPr>
        <w:pStyle w:val="Normal"/>
        <w:ind w:firstLine="709"/>
        <w:jc w:val="both"/>
        <w:rPr>
          <w:rFonts w:eastAsia="Calibri" w:cs="Times New Roman"/>
          <w:sz w:val="28"/>
          <w:szCs w:val="28"/>
        </w:rPr>
      </w:pPr>
      <w:r>
        <w:rPr>
          <w:rFonts w:eastAsia="Calibri" w:cs="Times New Roman"/>
          <w:sz w:val="28"/>
          <w:szCs w:val="28"/>
        </w:rPr>
        <w:t>5. Увеличение объёмов экспортируемой продукции в натуральном и стоимостном выражении за счёт изменения качественной структуры экспорта в сторону вывоза готовой продукции, а не сельскохозяйственного сырья.</w:t>
      </w:r>
    </w:p>
    <w:p>
      <w:pPr>
        <w:pStyle w:val="Normal"/>
        <w:ind w:firstLine="709"/>
        <w:jc w:val="both"/>
        <w:rPr>
          <w:rFonts w:eastAsia="Calibri" w:cs="Times New Roman"/>
          <w:b/>
          <w:b/>
          <w:sz w:val="28"/>
          <w:szCs w:val="28"/>
        </w:rPr>
      </w:pPr>
      <w:r>
        <w:rPr>
          <w:rFonts w:eastAsia="Calibri" w:cs="Times New Roman"/>
          <w:b/>
          <w:sz w:val="28"/>
          <w:szCs w:val="28"/>
        </w:rPr>
      </w:r>
    </w:p>
    <w:p>
      <w:pPr>
        <w:pStyle w:val="32"/>
        <w:rPr>
          <w:rFonts w:eastAsia="Calibri"/>
          <w:i w:val="false"/>
          <w:i w:val="false"/>
        </w:rPr>
      </w:pPr>
      <w:bookmarkStart w:id="54" w:name="_Toc4405019"/>
      <w:r>
        <w:rPr>
          <w:rFonts w:eastAsia="Calibri"/>
          <w:i w:val="false"/>
        </w:rPr>
        <w:t>2.2.3.2. Малые формы хозяйствования и кооперация</w:t>
      </w:r>
      <w:bookmarkEnd w:id="54"/>
    </w:p>
    <w:p>
      <w:pPr>
        <w:pStyle w:val="Normal"/>
        <w:shd w:val="clear" w:color="auto" w:fill="FFFFFF"/>
        <w:ind w:firstLine="709"/>
        <w:jc w:val="both"/>
        <w:rPr>
          <w:rFonts w:cs="Times New Roman"/>
          <w:color w:val="000000"/>
          <w:sz w:val="28"/>
          <w:szCs w:val="28"/>
          <w:lang w:eastAsia="ru-RU"/>
        </w:rPr>
      </w:pPr>
      <w:r>
        <w:rPr>
          <w:rFonts w:eastAsia="Calibri" w:cs="Times New Roman"/>
          <w:sz w:val="28"/>
          <w:szCs w:val="28"/>
        </w:rPr>
        <w:t xml:space="preserve">Важным направлением для повышения занятости, доходов и уровня жизни сельского населения Тереньгульского района является </w:t>
      </w:r>
      <w:r>
        <w:rPr>
          <w:rFonts w:cs="Times New Roman"/>
          <w:color w:val="000000"/>
          <w:sz w:val="28"/>
          <w:szCs w:val="28"/>
          <w:lang w:eastAsia="ru-RU"/>
        </w:rPr>
        <w:t>обеспечение благоприятных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на селе.</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w:t>
      </w:r>
      <w:r>
        <w:rPr>
          <w:rFonts w:eastAsia="Calibri" w:cs="Times New Roman"/>
          <w:b/>
          <w:sz w:val="28"/>
          <w:szCs w:val="28"/>
        </w:rPr>
        <w:t xml:space="preserve"> </w:t>
      </w:r>
      <w:r>
        <w:rPr>
          <w:rFonts w:eastAsia="Calibri" w:cs="Times New Roman"/>
          <w:b/>
          <w:i/>
          <w:sz w:val="28"/>
          <w:szCs w:val="28"/>
        </w:rPr>
        <w:t>- повышение эффективности и увеличение объёмов производства сельскохозяйственной продукции малыми формами хозяйствования.</w:t>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noVBand="1" w:val="04a0" w:noHBand="0" w:lastColumn="0" w:firstColumn="1" w:lastRow="0" w:firstRow="1"/>
      </w:tblPr>
      <w:tblGrid>
        <w:gridCol w:w="4253"/>
        <w:gridCol w:w="1704"/>
        <w:gridCol w:w="1275"/>
        <w:gridCol w:w="1273"/>
        <w:gridCol w:w="1100"/>
      </w:tblGrid>
      <w:tr>
        <w:trPr/>
        <w:tc>
          <w:tcPr>
            <w:tcW w:w="4253"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lang w:eastAsia="ru-RU"/>
              </w:rPr>
              <w:t>Доля крестьянских (фермерских) хозяйств и индивидуальных предпринимателей в производстве продукции сельского хозяйства</w:t>
            </w:r>
            <w:r>
              <w:rPr>
                <w:rFonts w:eastAsia="Calibri" w:cs="Times New Roman"/>
              </w:rPr>
              <w:t>,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7,5</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15</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lang w:eastAsia="ru-RU"/>
              </w:rPr>
              <w:t>Среднегодовой темп прироста выручки от продажи товаров, продукции, работ и услуг сельскохозяйственных потребительских кооперативов,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12</w:t>
            </w:r>
          </w:p>
        </w:tc>
      </w:tr>
    </w:tbl>
    <w:p>
      <w:pPr>
        <w:pStyle w:val="Normal"/>
        <w:ind w:firstLine="709"/>
        <w:jc w:val="both"/>
        <w:rPr>
          <w:rFonts w:eastAsia="Calibri" w:cs="Times New Roman"/>
          <w:b/>
          <w:b/>
          <w:sz w:val="28"/>
          <w:szCs w:val="28"/>
        </w:rPr>
      </w:pPr>
      <w:r>
        <w:rPr>
          <w:rFonts w:eastAsia="Calibri" w:cs="Times New Roman"/>
          <w:b/>
          <w:sz w:val="28"/>
          <w:szCs w:val="28"/>
        </w:rPr>
      </w:r>
    </w:p>
    <w:p>
      <w:pPr>
        <w:pStyle w:val="Normal"/>
        <w:ind w:firstLine="709"/>
        <w:jc w:val="both"/>
        <w:rPr>
          <w:rFonts w:eastAsia="Calibri" w:cs="Times New Roman"/>
          <w:b/>
          <w:b/>
          <w:sz w:val="28"/>
          <w:szCs w:val="28"/>
        </w:rPr>
      </w:pPr>
      <w:r>
        <w:rPr>
          <w:rFonts w:eastAsia="Calibri" w:cs="Times New Roman"/>
          <w:b/>
          <w:sz w:val="28"/>
          <w:szCs w:val="28"/>
        </w:rPr>
        <w:t>Задачи:</w:t>
      </w:r>
    </w:p>
    <w:p>
      <w:pPr>
        <w:pStyle w:val="Normal"/>
        <w:ind w:firstLine="709"/>
        <w:jc w:val="both"/>
        <w:rPr>
          <w:rFonts w:eastAsia="Calibri" w:cs="Times New Roman"/>
          <w:sz w:val="28"/>
          <w:szCs w:val="28"/>
        </w:rPr>
      </w:pPr>
      <w:r>
        <w:rPr>
          <w:rFonts w:eastAsia="Calibri" w:cs="Times New Roman"/>
          <w:sz w:val="28"/>
          <w:szCs w:val="28"/>
        </w:rPr>
        <w:t>1. Совершенствование системы поддержки субъектов малого и среднего предпринимательства (финансовой, информационной, консультационной, организационной), обеспечивающей условия их (субъектов) устойчивого функционирования.</w:t>
      </w:r>
    </w:p>
    <w:p>
      <w:pPr>
        <w:pStyle w:val="Normal"/>
        <w:ind w:firstLine="709"/>
        <w:jc w:val="both"/>
        <w:rPr>
          <w:rFonts w:eastAsia="Calibri" w:cs="Times New Roman"/>
          <w:sz w:val="28"/>
          <w:szCs w:val="28"/>
        </w:rPr>
      </w:pPr>
      <w:r>
        <w:rPr>
          <w:rFonts w:eastAsia="Calibri" w:cs="Times New Roman"/>
          <w:sz w:val="28"/>
          <w:szCs w:val="28"/>
        </w:rPr>
        <w:t>2. Повышение социальной эффективности деятельности субъектов малого и среднего предпринимательства путём создания новых рабочих мест.</w:t>
      </w:r>
    </w:p>
    <w:p>
      <w:pPr>
        <w:pStyle w:val="Normal"/>
        <w:ind w:firstLine="709"/>
        <w:jc w:val="both"/>
        <w:rPr>
          <w:rFonts w:eastAsia="Calibri" w:cs="Times New Roman"/>
          <w:sz w:val="28"/>
          <w:szCs w:val="28"/>
        </w:rPr>
      </w:pPr>
      <w:r>
        <w:rPr>
          <w:rFonts w:eastAsia="Calibri" w:cs="Times New Roman"/>
          <w:sz w:val="28"/>
          <w:szCs w:val="28"/>
          <w:shd w:fill="FFFFFF" w:val="clear"/>
        </w:rPr>
        <w:t>3. Стимулирование организации малых форм перерабатывающих производств.</w:t>
      </w:r>
    </w:p>
    <w:p>
      <w:pPr>
        <w:pStyle w:val="Normal"/>
        <w:ind w:firstLine="709"/>
        <w:jc w:val="both"/>
        <w:rPr>
          <w:rFonts w:eastAsia="Calibri" w:cs="Times New Roman"/>
          <w:sz w:val="28"/>
          <w:szCs w:val="28"/>
        </w:rPr>
      </w:pPr>
      <w:r>
        <w:rPr>
          <w:rFonts w:eastAsia="Calibri" w:cs="Times New Roman"/>
          <w:sz w:val="28"/>
          <w:szCs w:val="28"/>
        </w:rPr>
        <w:t>4. Стимулирование сельскохозяйственных предприятий всех форм (в том числе личных подсобных хозяйств) к вступлению в кооперацию.</w:t>
      </w:r>
    </w:p>
    <w:p>
      <w:pPr>
        <w:pStyle w:val="Normal"/>
        <w:ind w:firstLine="709"/>
        <w:jc w:val="both"/>
        <w:rPr>
          <w:rFonts w:eastAsia="Calibri" w:cs="Times New Roman"/>
          <w:sz w:val="28"/>
          <w:szCs w:val="28"/>
        </w:rPr>
      </w:pPr>
      <w:r>
        <w:rPr>
          <w:rFonts w:eastAsia="Calibri" w:cs="Times New Roman"/>
          <w:sz w:val="28"/>
          <w:szCs w:val="28"/>
        </w:rPr>
        <w:t>5. Содействие реализации продукции кооперации на территории района и соседних муниципальных образований (в том числе организация и проведение специализированных ярмарок сельскохозяйственной продукции и ярмарок выходного дня).</w:t>
      </w:r>
    </w:p>
    <w:p>
      <w:pPr>
        <w:pStyle w:val="Normal"/>
        <w:ind w:firstLine="709"/>
        <w:jc w:val="both"/>
        <w:rPr>
          <w:rFonts w:eastAsia="Calibri" w:cs="Times New Roman"/>
          <w:sz w:val="28"/>
          <w:szCs w:val="28"/>
        </w:rPr>
      </w:pPr>
      <w:r>
        <w:rPr>
          <w:rFonts w:eastAsia="Calibri" w:cs="Times New Roman"/>
          <w:sz w:val="28"/>
          <w:szCs w:val="28"/>
        </w:rPr>
        <w:t>6. Информационно-аналитическая поддержка кооперации (в том числе предоставление данных о существующих мерах поддержки кооперации, потенциально перспективных рынках сбыта, новых технологиях хранения и переработки продукции, ведения хозяйства).</w:t>
      </w:r>
    </w:p>
    <w:p>
      <w:pPr>
        <w:pStyle w:val="Normal"/>
        <w:ind w:firstLine="709"/>
        <w:jc w:val="both"/>
        <w:rPr>
          <w:rFonts w:eastAsia="Calibri" w:cs="Times New Roman"/>
          <w:color w:val="141414"/>
          <w:sz w:val="28"/>
          <w:szCs w:val="28"/>
          <w:highlight w:val="white"/>
        </w:rPr>
      </w:pPr>
      <w:r>
        <w:rPr>
          <w:rFonts w:eastAsia="Calibri" w:cs="Times New Roman"/>
          <w:color w:val="141414"/>
          <w:sz w:val="28"/>
          <w:szCs w:val="28"/>
          <w:shd w:fill="FFFFFF" w:val="clear"/>
        </w:rPr>
        <w:t>7. Создание и развитие экспортно-ориентированных кооперативов.</w:t>
      </w:r>
    </w:p>
    <w:p>
      <w:pPr>
        <w:pStyle w:val="Normal"/>
        <w:ind w:firstLine="709"/>
        <w:jc w:val="both"/>
        <w:rPr>
          <w:rFonts w:eastAsia="Calibri" w:cs="Times New Roman"/>
          <w:sz w:val="28"/>
          <w:szCs w:val="28"/>
        </w:rPr>
      </w:pPr>
      <w:r>
        <w:rPr>
          <w:rFonts w:eastAsia="Calibri" w:cs="Times New Roman"/>
          <w:color w:val="141414"/>
          <w:sz w:val="28"/>
          <w:szCs w:val="28"/>
          <w:shd w:fill="FFFFFF" w:val="clear"/>
        </w:rPr>
        <w:t>8. С</w:t>
      </w:r>
      <w:r>
        <w:rPr>
          <w:rFonts w:eastAsia="Calibri" w:cs="Times New Roman"/>
          <w:sz w:val="28"/>
          <w:szCs w:val="28"/>
        </w:rPr>
        <w:t>одействие малому и среднему бизнесу в реализации инновационных проектов, привлечению инвестиций, продвижению инновационной продукции района на внешние рынки, развитию системы информационной поддержки инновационной деятельности сектора АПК.</w:t>
      </w:r>
    </w:p>
    <w:p>
      <w:pPr>
        <w:pStyle w:val="Normal"/>
        <w:ind w:firstLine="709"/>
        <w:jc w:val="both"/>
        <w:rPr>
          <w:rFonts w:eastAsia="Calibri" w:cs="Times New Roman"/>
          <w:color w:val="141414"/>
          <w:sz w:val="28"/>
          <w:szCs w:val="28"/>
          <w:highlight w:val="white"/>
        </w:rPr>
      </w:pPr>
      <w:r>
        <w:rPr>
          <w:rFonts w:eastAsia="Calibri" w:cs="Times New Roman"/>
          <w:color w:val="141414"/>
          <w:sz w:val="28"/>
          <w:szCs w:val="28"/>
          <w:highlight w:val="white"/>
        </w:rPr>
      </w:r>
    </w:p>
    <w:p>
      <w:pPr>
        <w:pStyle w:val="32"/>
        <w:rPr>
          <w:rFonts w:eastAsia="Calibri"/>
          <w:i w:val="false"/>
          <w:i w:val="false"/>
          <w:highlight w:val="white"/>
        </w:rPr>
      </w:pPr>
      <w:bookmarkStart w:id="55" w:name="_Toc4405020"/>
      <w:r>
        <w:rPr>
          <w:rFonts w:eastAsia="Calibri"/>
          <w:i w:val="false"/>
          <w:shd w:fill="FFFFFF" w:val="clear"/>
        </w:rPr>
        <w:t>2.2.3.3. Сельскохозяйственные угодья</w:t>
      </w:r>
      <w:bookmarkEnd w:id="55"/>
    </w:p>
    <w:p>
      <w:pPr>
        <w:pStyle w:val="Normal"/>
        <w:shd w:val="clear" w:color="auto" w:fill="FFFFFF"/>
        <w:ind w:firstLine="709"/>
        <w:jc w:val="both"/>
        <w:rPr>
          <w:rFonts w:cs="Times New Roman"/>
          <w:sz w:val="28"/>
          <w:szCs w:val="28"/>
          <w:lang w:eastAsia="ru-RU"/>
        </w:rPr>
      </w:pPr>
      <w:r>
        <w:rPr>
          <w:rFonts w:cs="Times New Roman"/>
          <w:sz w:val="28"/>
          <w:szCs w:val="28"/>
          <w:lang w:eastAsia="ru-RU"/>
        </w:rPr>
        <w:t>Земля выступает как главное средство производства, важнейшая часть материально-технической базы сельского хозяйства. Поэтому на современном этапе проблема повышения эффективности использования земли в условиях различных форм хозяйствования очень важна и требует решения.</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w:t>
      </w:r>
      <w:r>
        <w:rPr>
          <w:rFonts w:eastAsia="Calibri" w:cs="Times New Roman"/>
          <w:b/>
          <w:sz w:val="28"/>
          <w:szCs w:val="28"/>
        </w:rPr>
        <w:t xml:space="preserve"> </w:t>
      </w:r>
      <w:r>
        <w:rPr>
          <w:rFonts w:eastAsia="Calibri" w:cs="Times New Roman"/>
          <w:b/>
          <w:i/>
          <w:sz w:val="28"/>
          <w:szCs w:val="28"/>
        </w:rPr>
        <w:t>- повышение эффективности использования сельскохозяйственных угодий.</w:t>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noVBand="1" w:val="04a0" w:noHBand="0" w:lastColumn="0" w:firstColumn="1" w:lastRow="0" w:firstRow="1"/>
      </w:tblPr>
      <w:tblGrid>
        <w:gridCol w:w="4253"/>
        <w:gridCol w:w="1704"/>
        <w:gridCol w:w="1275"/>
        <w:gridCol w:w="1273"/>
        <w:gridCol w:w="1100"/>
      </w:tblGrid>
      <w:tr>
        <w:trPr/>
        <w:tc>
          <w:tcPr>
            <w:tcW w:w="4253"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Площадь земли в сельскохозяйственном обороте, тыс. га</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Доля пашни в общей площади сельскохозяйственных угодий,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r>
      <w:tr>
        <w:trPr/>
        <w:tc>
          <w:tcPr>
            <w:tcW w:w="4253" w:type="dxa"/>
            <w:tcBorders/>
            <w:shd w:fill="auto" w:val="clear"/>
          </w:tcPr>
          <w:p>
            <w:pPr>
              <w:pStyle w:val="Normal"/>
              <w:spacing w:lineRule="auto" w:line="240" w:before="0" w:after="0"/>
              <w:rPr>
                <w:rFonts w:eastAsia="Calibri" w:cs="Times New Roman"/>
              </w:rPr>
            </w:pPr>
            <w:r>
              <w:rPr>
                <w:rFonts w:eastAsia="Calibri" w:cs="Times New Roman"/>
              </w:rPr>
              <w:t>Доля посевов в общей площади пашни, %</w:t>
            </w:r>
          </w:p>
        </w:tc>
        <w:tc>
          <w:tcPr>
            <w:tcW w:w="1704" w:type="dxa"/>
            <w:tcBorders/>
            <w:shd w:fill="auto" w:val="clear"/>
            <w:vAlign w:val="center"/>
          </w:tcPr>
          <w:p>
            <w:pPr>
              <w:pStyle w:val="Normal"/>
              <w:spacing w:lineRule="auto" w:line="240" w:before="0" w:after="0"/>
              <w:jc w:val="center"/>
              <w:rPr>
                <w:rFonts w:eastAsia="Calibri" w:cs="Times New Roman"/>
              </w:rPr>
            </w:pPr>
            <w:r>
              <w:rPr>
                <w:rFonts w:eastAsia="Calibri" w:cs="Times New Roman"/>
              </w:rPr>
              <w:t>31,4</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33</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35</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48</w:t>
            </w:r>
          </w:p>
        </w:tc>
      </w:tr>
    </w:tbl>
    <w:p>
      <w:pPr>
        <w:pStyle w:val="Normal"/>
        <w:ind w:firstLine="709"/>
        <w:jc w:val="both"/>
        <w:rPr>
          <w:rFonts w:eastAsia="Calibri" w:cs="Times New Roman"/>
          <w:b/>
          <w:b/>
          <w:sz w:val="28"/>
          <w:szCs w:val="28"/>
        </w:rPr>
      </w:pPr>
      <w:r>
        <w:rPr>
          <w:rFonts w:eastAsia="Calibri" w:cs="Times New Roman"/>
          <w:b/>
          <w:sz w:val="28"/>
          <w:szCs w:val="28"/>
        </w:rPr>
      </w:r>
    </w:p>
    <w:p>
      <w:pPr>
        <w:pStyle w:val="Normal"/>
        <w:ind w:firstLine="709"/>
        <w:jc w:val="both"/>
        <w:rPr>
          <w:rFonts w:eastAsia="Calibri" w:cs="Times New Roman"/>
          <w:b/>
          <w:b/>
          <w:sz w:val="28"/>
          <w:szCs w:val="28"/>
        </w:rPr>
      </w:pPr>
      <w:r>
        <w:rPr>
          <w:rFonts w:eastAsia="Calibri" w:cs="Times New Roman"/>
          <w:b/>
          <w:sz w:val="28"/>
          <w:szCs w:val="28"/>
        </w:rPr>
        <w:t>Задачи:</w:t>
      </w:r>
    </w:p>
    <w:p>
      <w:pPr>
        <w:pStyle w:val="Normal"/>
        <w:shd w:val="clear" w:color="auto" w:fill="FFFFFF"/>
        <w:ind w:firstLine="709"/>
        <w:jc w:val="both"/>
        <w:rPr>
          <w:rFonts w:cs="Times New Roman"/>
          <w:sz w:val="28"/>
          <w:szCs w:val="28"/>
          <w:lang w:eastAsia="ru-RU"/>
        </w:rPr>
      </w:pPr>
      <w:r>
        <w:rPr>
          <w:rFonts w:eastAsia="Calibri" w:cs="Times New Roman"/>
          <w:sz w:val="28"/>
          <w:szCs w:val="28"/>
        </w:rPr>
        <w:t>1. О</w:t>
      </w:r>
      <w:r>
        <w:rPr>
          <w:rFonts w:cs="Times New Roman"/>
          <w:sz w:val="28"/>
          <w:szCs w:val="28"/>
          <w:lang w:eastAsia="ru-RU"/>
        </w:rPr>
        <w:t>рганизация работы центров (отделов) мониторинга состояния сельскохозяйственных угодий и методов ведения аграрного производства, усиление контроля за целевым использованием земель сельскохозяйственного назначения.</w:t>
      </w:r>
    </w:p>
    <w:p>
      <w:pPr>
        <w:pStyle w:val="Normal"/>
        <w:shd w:val="clear" w:color="auto" w:fill="FFFFFF"/>
        <w:ind w:firstLine="709"/>
        <w:jc w:val="both"/>
        <w:rPr>
          <w:rFonts w:cs="Times New Roman"/>
          <w:sz w:val="28"/>
          <w:szCs w:val="28"/>
          <w:lang w:eastAsia="ru-RU"/>
        </w:rPr>
      </w:pPr>
      <w:r>
        <w:rPr>
          <w:rFonts w:cs="Times New Roman"/>
          <w:sz w:val="28"/>
          <w:szCs w:val="28"/>
          <w:lang w:eastAsia="ru-RU"/>
        </w:rPr>
        <w:t>2. Вовлечение в оборот неиспользуемых и неэффективно используемых земельных участков.</w:t>
      </w:r>
    </w:p>
    <w:p>
      <w:pPr>
        <w:pStyle w:val="Normal"/>
        <w:shd w:val="clear" w:color="auto" w:fill="FFFFFF"/>
        <w:ind w:firstLine="709"/>
        <w:jc w:val="both"/>
        <w:rPr>
          <w:rFonts w:cs="Times New Roman"/>
          <w:sz w:val="28"/>
          <w:szCs w:val="28"/>
          <w:lang w:eastAsia="ru-RU"/>
        </w:rPr>
      </w:pPr>
      <w:r>
        <w:rPr>
          <w:rFonts w:eastAsia="Calibri" w:cs="Times New Roman"/>
          <w:color w:val="000000"/>
          <w:sz w:val="28"/>
          <w:szCs w:val="28"/>
          <w:shd w:fill="FFFFFF" w:val="clear"/>
        </w:rPr>
        <w:t>3. Проведение системной работы по сохранению и повышению плодородия почв.</w:t>
      </w:r>
    </w:p>
    <w:p>
      <w:pPr>
        <w:pStyle w:val="Normal"/>
        <w:shd w:val="clear" w:color="auto" w:fill="FFFFFF"/>
        <w:ind w:firstLine="709"/>
        <w:jc w:val="both"/>
        <w:rPr>
          <w:rFonts w:cs="Times New Roman"/>
          <w:sz w:val="28"/>
          <w:szCs w:val="28"/>
          <w:lang w:eastAsia="ru-RU"/>
        </w:rPr>
      </w:pPr>
      <w:r>
        <w:rPr>
          <w:rFonts w:cs="Times New Roman"/>
          <w:sz w:val="28"/>
          <w:szCs w:val="28"/>
          <w:lang w:eastAsia="ru-RU"/>
        </w:rPr>
        <w:t>4. Внедрение и развитие мелиоративных систем по восстановлению почвы.</w:t>
      </w:r>
    </w:p>
    <w:p>
      <w:pPr>
        <w:pStyle w:val="Normal"/>
        <w:shd w:val="clear" w:color="auto" w:fill="FFFFFF"/>
        <w:ind w:firstLine="709"/>
        <w:jc w:val="both"/>
        <w:rPr>
          <w:rFonts w:cs="Times New Roman"/>
          <w:sz w:val="28"/>
          <w:szCs w:val="28"/>
          <w:lang w:eastAsia="ru-RU"/>
        </w:rPr>
      </w:pPr>
      <w:r>
        <w:rPr>
          <w:rFonts w:cs="Times New Roman"/>
          <w:sz w:val="28"/>
          <w:szCs w:val="28"/>
          <w:lang w:eastAsia="ru-RU"/>
        </w:rPr>
        <w:t>5. С</w:t>
      </w:r>
      <w:r>
        <w:rPr>
          <w:rFonts w:cs="Times New Roman"/>
          <w:sz w:val="28"/>
          <w:szCs w:val="23"/>
          <w:lang w:eastAsia="ru-RU"/>
        </w:rPr>
        <w:t>оздание условий для оформления</w:t>
      </w:r>
      <w:r>
        <w:rPr>
          <w:rFonts w:cs="Times New Roman"/>
          <w:sz w:val="28"/>
          <w:szCs w:val="28"/>
          <w:lang w:eastAsia="ru-RU"/>
        </w:rPr>
        <w:t xml:space="preserve"> </w:t>
      </w:r>
      <w:r>
        <w:rPr>
          <w:rFonts w:cs="Times New Roman"/>
          <w:sz w:val="28"/>
          <w:szCs w:val="23"/>
          <w:lang w:eastAsia="ru-RU"/>
        </w:rPr>
        <w:t>прав на земельные участки из земель</w:t>
      </w:r>
      <w:r>
        <w:rPr>
          <w:rFonts w:cs="Times New Roman"/>
          <w:sz w:val="28"/>
          <w:szCs w:val="28"/>
          <w:lang w:eastAsia="ru-RU"/>
        </w:rPr>
        <w:t xml:space="preserve"> </w:t>
      </w:r>
      <w:r>
        <w:rPr>
          <w:rFonts w:cs="Times New Roman"/>
          <w:sz w:val="28"/>
          <w:szCs w:val="23"/>
          <w:lang w:eastAsia="ru-RU"/>
        </w:rPr>
        <w:t>сельскохозяйственного назначения и</w:t>
      </w:r>
      <w:r>
        <w:rPr>
          <w:rFonts w:cs="Times New Roman"/>
          <w:sz w:val="28"/>
          <w:szCs w:val="28"/>
          <w:lang w:eastAsia="ru-RU"/>
        </w:rPr>
        <w:t xml:space="preserve"> </w:t>
      </w:r>
      <w:r>
        <w:rPr>
          <w:rFonts w:cs="Times New Roman"/>
          <w:sz w:val="28"/>
          <w:szCs w:val="23"/>
          <w:lang w:eastAsia="ru-RU"/>
        </w:rPr>
        <w:t>включения</w:t>
      </w:r>
      <w:r>
        <w:rPr>
          <w:rFonts w:cs="Times New Roman"/>
          <w:sz w:val="28"/>
          <w:szCs w:val="28"/>
          <w:lang w:eastAsia="ru-RU"/>
        </w:rPr>
        <w:t xml:space="preserve"> </w:t>
      </w:r>
      <w:r>
        <w:rPr>
          <w:rFonts w:cs="Times New Roman"/>
          <w:sz w:val="28"/>
          <w:szCs w:val="23"/>
          <w:lang w:eastAsia="ru-RU"/>
        </w:rPr>
        <w:t>их</w:t>
      </w:r>
      <w:r>
        <w:rPr>
          <w:rFonts w:cs="Times New Roman"/>
          <w:sz w:val="28"/>
          <w:szCs w:val="28"/>
          <w:lang w:eastAsia="ru-RU"/>
        </w:rPr>
        <w:t xml:space="preserve"> </w:t>
      </w:r>
      <w:r>
        <w:rPr>
          <w:rFonts w:cs="Times New Roman"/>
          <w:sz w:val="28"/>
          <w:szCs w:val="23"/>
          <w:lang w:eastAsia="ru-RU"/>
        </w:rPr>
        <w:t>в</w:t>
      </w:r>
      <w:r>
        <w:rPr>
          <w:rFonts w:cs="Times New Roman"/>
          <w:sz w:val="28"/>
          <w:szCs w:val="28"/>
          <w:lang w:eastAsia="ru-RU"/>
        </w:rPr>
        <w:t xml:space="preserve"> </w:t>
      </w:r>
      <w:r>
        <w:rPr>
          <w:rFonts w:cs="Times New Roman"/>
          <w:sz w:val="28"/>
          <w:szCs w:val="23"/>
          <w:lang w:eastAsia="ru-RU"/>
        </w:rPr>
        <w:t>эффективный</w:t>
      </w:r>
      <w:r>
        <w:rPr>
          <w:rFonts w:cs="Times New Roman"/>
          <w:sz w:val="28"/>
          <w:szCs w:val="28"/>
          <w:lang w:eastAsia="ru-RU"/>
        </w:rPr>
        <w:t xml:space="preserve"> </w:t>
      </w:r>
      <w:r>
        <w:rPr>
          <w:rFonts w:cs="Times New Roman"/>
          <w:sz w:val="28"/>
          <w:szCs w:val="23"/>
          <w:lang w:eastAsia="ru-RU"/>
        </w:rPr>
        <w:t>хозяйственный оборот.</w:t>
      </w:r>
    </w:p>
    <w:p>
      <w:pPr>
        <w:pStyle w:val="Normal"/>
        <w:ind w:firstLine="709"/>
        <w:jc w:val="both"/>
        <w:rPr>
          <w:rFonts w:eastAsia="Calibri" w:cs="Times New Roman"/>
          <w:sz w:val="28"/>
          <w:szCs w:val="28"/>
        </w:rPr>
      </w:pPr>
      <w:r>
        <w:rPr>
          <w:rFonts w:eastAsia="Calibri" w:cs="Times New Roman"/>
          <w:sz w:val="28"/>
          <w:szCs w:val="28"/>
        </w:rPr>
        <w:t>6. Повышение урожайности основных видов сельскохозяйственных культур за счёт проведения работы по планомерной сортосмене посевного материала путём использования новых высокоурожайных сортов и гибридов, применения новых прогрессивных энергосберегающих технологий, увеличения площади, засеваемой элитными семенами.</w:t>
      </w:r>
    </w:p>
    <w:p>
      <w:pPr>
        <w:pStyle w:val="Normal"/>
        <w:ind w:firstLine="709"/>
        <w:jc w:val="both"/>
        <w:rPr>
          <w:rFonts w:eastAsia="Calibri" w:cs="Times New Roman"/>
          <w:sz w:val="28"/>
          <w:szCs w:val="28"/>
        </w:rPr>
      </w:pPr>
      <w:r>
        <w:rPr>
          <w:rFonts w:eastAsia="Calibri" w:cs="Times New Roman"/>
          <w:sz w:val="28"/>
          <w:szCs w:val="28"/>
        </w:rPr>
      </w:r>
    </w:p>
    <w:p>
      <w:pPr>
        <w:pStyle w:val="32"/>
        <w:rPr>
          <w:rFonts w:eastAsia="Calibri"/>
          <w:i w:val="false"/>
          <w:i w:val="false"/>
          <w:highlight w:val="white"/>
        </w:rPr>
      </w:pPr>
      <w:bookmarkStart w:id="56" w:name="_Toc4405021"/>
      <w:r>
        <w:rPr>
          <w:rFonts w:eastAsia="Calibri"/>
          <w:i w:val="false"/>
          <w:shd w:fill="FFFFFF" w:val="clear"/>
        </w:rPr>
        <w:t>2.2.3.4. Кадровый потенциал отрасли</w:t>
      </w:r>
      <w:bookmarkEnd w:id="56"/>
    </w:p>
    <w:p>
      <w:pPr>
        <w:pStyle w:val="Normal"/>
        <w:shd w:val="clear" w:color="auto" w:fill="FFFFFF"/>
        <w:ind w:firstLine="709"/>
        <w:jc w:val="both"/>
        <w:rPr>
          <w:rFonts w:cs="Times New Roman"/>
          <w:sz w:val="28"/>
          <w:szCs w:val="28"/>
          <w:lang w:eastAsia="ru-RU"/>
        </w:rPr>
      </w:pPr>
      <w:r>
        <w:rPr>
          <w:rFonts w:cs="Times New Roman"/>
          <w:sz w:val="28"/>
          <w:szCs w:val="28"/>
          <w:lang w:eastAsia="ru-RU"/>
        </w:rPr>
        <w:t>В настоящее время кадровый потенциал аграрного сектора экономики района недостаточен для обеспечения конкурентоспособности сельскохозяйственной отрасли. Кризисное состояние сельской социальной инфраструктуры препятствует созданию предпосылок для мотивации к аграрному труду и улучшению кадрового обеспечения в сельском хозяйстве.</w:t>
      </w:r>
    </w:p>
    <w:p>
      <w:pPr>
        <w:pStyle w:val="Normal"/>
        <w:shd w:val="clear" w:color="auto" w:fill="FFFFFF"/>
        <w:ind w:firstLine="709"/>
        <w:jc w:val="both"/>
        <w:rPr>
          <w:rFonts w:cs="Times New Roman"/>
          <w:color w:val="000000"/>
          <w:sz w:val="28"/>
          <w:szCs w:val="28"/>
          <w:lang w:eastAsia="ru-RU"/>
        </w:rPr>
      </w:pPr>
      <w:r>
        <w:rPr>
          <w:rFonts w:cs="Times New Roman"/>
          <w:color w:val="000000"/>
          <w:sz w:val="28"/>
          <w:szCs w:val="28"/>
          <w:lang w:eastAsia="ru-RU"/>
        </w:rPr>
        <w:t>Селу необходимо кадровое обеспечение индивидуальными предпринимателями, готовыми создать рабочие места, и квалифицированными специалистами, способными применять современные технологии. А для этого необходимо, наряду с развитием социальной инфраструктуры села, повышать уровень оплаты труда в отрасли.</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w:t>
      </w:r>
      <w:r>
        <w:rPr>
          <w:rFonts w:eastAsia="Calibri" w:cs="Times New Roman"/>
          <w:b/>
          <w:sz w:val="28"/>
          <w:szCs w:val="28"/>
        </w:rPr>
        <w:t xml:space="preserve"> </w:t>
      </w:r>
      <w:r>
        <w:rPr>
          <w:rFonts w:eastAsia="Calibri" w:cs="Times New Roman"/>
          <w:b/>
          <w:i/>
          <w:sz w:val="28"/>
          <w:szCs w:val="28"/>
        </w:rPr>
        <w:t>- доведение к 2030 году уровня среднемесячной номинальной заработной платы в сельском хозяйстве до уровня не ниже 80% от средне областного значения.</w:t>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noVBand="1" w:val="04a0" w:noHBand="0" w:lastColumn="0" w:firstColumn="1" w:lastRow="0" w:firstRow="1"/>
      </w:tblPr>
      <w:tblGrid>
        <w:gridCol w:w="4253"/>
        <w:gridCol w:w="1704"/>
        <w:gridCol w:w="1275"/>
        <w:gridCol w:w="1273"/>
        <w:gridCol w:w="1100"/>
      </w:tblGrid>
      <w:tr>
        <w:trPr/>
        <w:tc>
          <w:tcPr>
            <w:tcW w:w="4253"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ascii="yandex-sans" w:hAnsi="yandex-sans"/>
                <w:color w:val="000000"/>
                <w:lang w:eastAsia="ru-RU"/>
              </w:rPr>
              <w:t>Отношение средней заработной платы в сельском хозяйстве к среднему значению по экономике области,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64,7</w:t>
            </w:r>
          </w:p>
        </w:tc>
        <w:tc>
          <w:tcPr>
            <w:tcW w:w="1275"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70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75</w:t>
            </w:r>
          </w:p>
        </w:tc>
        <w:tc>
          <w:tcPr>
            <w:tcW w:w="110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r>
    </w:tbl>
    <w:p>
      <w:pPr>
        <w:pStyle w:val="Normal"/>
        <w:ind w:firstLine="709"/>
        <w:jc w:val="both"/>
        <w:rPr>
          <w:rFonts w:eastAsia="Calibri" w:cs="Times New Roman"/>
          <w:sz w:val="28"/>
          <w:szCs w:val="28"/>
        </w:rPr>
      </w:pPr>
      <w:r>
        <w:rPr>
          <w:rFonts w:eastAsia="Calibri" w:cs="Times New Roman"/>
          <w:sz w:val="28"/>
          <w:szCs w:val="28"/>
        </w:rPr>
      </w:r>
    </w:p>
    <w:p>
      <w:pPr>
        <w:pStyle w:val="Normal"/>
        <w:ind w:firstLine="709"/>
        <w:jc w:val="both"/>
        <w:rPr>
          <w:rFonts w:eastAsia="Calibri" w:cs="Times New Roman"/>
          <w:b/>
          <w:b/>
          <w:sz w:val="28"/>
          <w:szCs w:val="28"/>
        </w:rPr>
      </w:pPr>
      <w:r>
        <w:rPr>
          <w:rFonts w:eastAsia="Calibri" w:cs="Times New Roman"/>
          <w:b/>
          <w:sz w:val="28"/>
          <w:szCs w:val="28"/>
        </w:rPr>
        <w:t>Задачи:</w:t>
      </w:r>
    </w:p>
    <w:p>
      <w:pPr>
        <w:pStyle w:val="Normal"/>
        <w:ind w:firstLine="709"/>
        <w:jc w:val="both"/>
        <w:rPr>
          <w:rFonts w:eastAsia="Calibri" w:cs="Times New Roman"/>
          <w:sz w:val="28"/>
          <w:szCs w:val="28"/>
          <w:lang w:eastAsia="ru-RU"/>
        </w:rPr>
      </w:pPr>
      <w:r>
        <w:rPr>
          <w:rFonts w:eastAsia="Calibri" w:cs="Times New Roman"/>
          <w:sz w:val="28"/>
          <w:szCs w:val="28"/>
          <w:lang w:eastAsia="ru-RU"/>
        </w:rPr>
        <w:t>1. Создание условий по сближению уровня оплаты труда работников, занятых в сельском хозяйстве, со средним его значением по экономике региона для повышения престижности сельскохозяйственного труда и сокращения дефицита квалифицированных кадров в отрасли.</w:t>
      </w:r>
    </w:p>
    <w:p>
      <w:pPr>
        <w:pStyle w:val="Normal"/>
        <w:ind w:firstLine="709"/>
        <w:jc w:val="both"/>
        <w:rPr>
          <w:rFonts w:cs="Times New Roman"/>
          <w:sz w:val="28"/>
          <w:szCs w:val="23"/>
          <w:lang w:eastAsia="ru-RU"/>
        </w:rPr>
      </w:pPr>
      <w:r>
        <w:rPr>
          <w:rFonts w:eastAsia="Calibri" w:cs="Times New Roman"/>
          <w:sz w:val="28"/>
          <w:szCs w:val="28"/>
          <w:lang w:eastAsia="ru-RU"/>
        </w:rPr>
        <w:t>2. У</w:t>
      </w:r>
      <w:r>
        <w:rPr>
          <w:rFonts w:cs="Times New Roman"/>
          <w:sz w:val="28"/>
          <w:szCs w:val="23"/>
          <w:lang w:eastAsia="ru-RU"/>
        </w:rPr>
        <w:t>крепление трудового потенциала агропромышленного комплекса района путём улучшения профессиональной переподготовки и повышения квалификации руководителей и специалистов агропромышленного комплекса.</w:t>
      </w:r>
    </w:p>
    <w:p>
      <w:pPr>
        <w:pStyle w:val="Normal"/>
        <w:ind w:firstLine="709"/>
        <w:jc w:val="both"/>
        <w:rPr>
          <w:rFonts w:cs="Times New Roman"/>
          <w:sz w:val="28"/>
          <w:szCs w:val="23"/>
          <w:lang w:eastAsia="ru-RU"/>
        </w:rPr>
      </w:pPr>
      <w:r>
        <w:rPr>
          <w:rFonts w:cs="Times New Roman"/>
          <w:sz w:val="28"/>
          <w:szCs w:val="23"/>
          <w:lang w:eastAsia="ru-RU"/>
        </w:rPr>
        <w:t>3. Совершенствование профессиональных знаний и навыков кадрового состава в направлении сохранения плодородия почв.</w:t>
      </w:r>
    </w:p>
    <w:p>
      <w:pPr>
        <w:pStyle w:val="Normal"/>
        <w:ind w:firstLine="709"/>
        <w:jc w:val="both"/>
        <w:rPr>
          <w:rFonts w:cs="Times New Roman"/>
          <w:sz w:val="28"/>
          <w:szCs w:val="23"/>
          <w:lang w:eastAsia="ru-RU"/>
        </w:rPr>
      </w:pPr>
      <w:r>
        <w:rPr>
          <w:rFonts w:cs="Times New Roman"/>
          <w:sz w:val="28"/>
          <w:szCs w:val="23"/>
          <w:lang w:eastAsia="ru-RU"/>
        </w:rPr>
        <w:t>4. Формирование кадрового резерва руководителей и обучение по альтернативным видам занятости.</w:t>
      </w:r>
    </w:p>
    <w:p>
      <w:pPr>
        <w:pStyle w:val="Normal"/>
        <w:ind w:firstLine="709"/>
        <w:jc w:val="both"/>
        <w:rPr>
          <w:rFonts w:eastAsia="Calibri" w:cs="Times New Roman"/>
          <w:sz w:val="28"/>
          <w:szCs w:val="28"/>
          <w:lang w:eastAsia="ru-RU"/>
        </w:rPr>
      </w:pPr>
      <w:r>
        <w:rPr>
          <w:rFonts w:cs="Times New Roman"/>
          <w:sz w:val="28"/>
          <w:szCs w:val="23"/>
          <w:lang w:eastAsia="ru-RU"/>
        </w:rPr>
        <w:t>5. П</w:t>
      </w:r>
      <w:r>
        <w:rPr>
          <w:rFonts w:eastAsia="Calibri" w:cs="Times New Roman"/>
          <w:sz w:val="28"/>
          <w:szCs w:val="23"/>
          <w:shd w:fill="FFFFFF" w:val="clear"/>
        </w:rPr>
        <w:t>ривлечение молодёжи на село.</w:t>
      </w:r>
    </w:p>
    <w:p>
      <w:pPr>
        <w:pStyle w:val="Normal"/>
        <w:rPr/>
      </w:pPr>
      <w:r>
        <w:rPr/>
      </w:r>
    </w:p>
    <w:p>
      <w:pPr>
        <w:pStyle w:val="Normal"/>
        <w:rPr/>
      </w:pPr>
      <w:bookmarkStart w:id="57" w:name="_Toc4405022"/>
      <w:r>
        <w:rPr/>
        <w:t>2.2.4. Повышение инвестиционной привлекательности</w:t>
      </w:r>
      <w:bookmarkEnd w:id="57"/>
    </w:p>
    <w:p>
      <w:pPr>
        <w:pStyle w:val="ListParagraph"/>
        <w:ind w:left="0" w:firstLine="709"/>
        <w:jc w:val="both"/>
        <w:rPr>
          <w:rFonts w:cs="Times New Roman"/>
          <w:sz w:val="28"/>
          <w:szCs w:val="28"/>
        </w:rPr>
      </w:pPr>
      <w:r>
        <w:rPr>
          <w:rFonts w:cs="Times New Roman"/>
          <w:sz w:val="28"/>
          <w:szCs w:val="28"/>
        </w:rPr>
        <w:t xml:space="preserve">Инвестирование </w:t>
      </w:r>
      <w:r>
        <w:rPr>
          <w:rFonts w:eastAsia="Symbol" w:cs="Symbol" w:ascii="Symbol" w:hAnsi="Symbol"/>
          <w:sz w:val="28"/>
          <w:szCs w:val="28"/>
        </w:rPr>
        <w:t></w:t>
      </w:r>
      <w:r>
        <w:rPr>
          <w:rFonts w:cs="Times New Roman"/>
          <w:sz w:val="28"/>
          <w:szCs w:val="28"/>
        </w:rPr>
        <w:t xml:space="preserve"> важнейший механизм решения проблем, связанных </w:t>
        <w:br/>
        <w:t>с ускорением темпов экономического развития.</w:t>
      </w:r>
    </w:p>
    <w:p>
      <w:pPr>
        <w:pStyle w:val="ListParagraph"/>
        <w:ind w:left="0" w:firstLine="709"/>
        <w:jc w:val="both"/>
        <w:rPr>
          <w:rFonts w:cs="Times New Roman"/>
          <w:sz w:val="28"/>
          <w:szCs w:val="28"/>
        </w:rPr>
      </w:pPr>
      <w:r>
        <w:rPr>
          <w:rFonts w:cs="Times New Roman"/>
          <w:sz w:val="28"/>
          <w:szCs w:val="28"/>
        </w:rPr>
        <w:t>В притоке инвестиций особенно нуждается Тереньгульский район, которые позволят формировать новые рыночные ниши, создать рабочие места с достойным уровнем оплаты труда, повысить уровень жизни населения.</w:t>
      </w:r>
    </w:p>
    <w:p>
      <w:pPr>
        <w:pStyle w:val="ListParagraph"/>
        <w:ind w:left="0" w:firstLine="709"/>
        <w:jc w:val="both"/>
        <w:rPr>
          <w:rFonts w:cs="Times New Roman"/>
          <w:b/>
          <w:b/>
          <w:i/>
          <w:i/>
          <w:sz w:val="28"/>
          <w:szCs w:val="28"/>
        </w:rPr>
      </w:pPr>
      <w:r>
        <w:rPr>
          <w:rFonts w:cs="Times New Roman"/>
          <w:b/>
          <w:i/>
          <w:sz w:val="28"/>
          <w:szCs w:val="28"/>
        </w:rPr>
        <w:t xml:space="preserve">Подцель </w:t>
      </w:r>
      <w:r>
        <w:rPr>
          <w:rFonts w:eastAsia="Symbol" w:cs="Symbol" w:ascii="Symbol" w:hAnsi="Symbol"/>
          <w:b/>
          <w:i/>
          <w:sz w:val="28"/>
          <w:szCs w:val="28"/>
        </w:rPr>
        <w:t></w:t>
      </w:r>
      <w:r>
        <w:rPr>
          <w:rFonts w:cs="Times New Roman"/>
          <w:b/>
          <w:i/>
          <w:sz w:val="28"/>
          <w:szCs w:val="28"/>
        </w:rPr>
        <w:t xml:space="preserve"> увеличение инвестиций в основной капитал </w:t>
        <w:br/>
        <w:t xml:space="preserve">(за исключением бюджетных средств) на душу населения </w:t>
        <w:br/>
        <w:t>до 17,6 тысяч рублей к 2030 году.</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noVBand="1" w:val="04a0" w:noHBand="0" w:lastColumn="0" w:firstColumn="1" w:lastRow="0" w:firstRow="1"/>
      </w:tblPr>
      <w:tblGrid>
        <w:gridCol w:w="4253"/>
        <w:gridCol w:w="1704"/>
        <w:gridCol w:w="1275"/>
        <w:gridCol w:w="1273"/>
        <w:gridCol w:w="1100"/>
      </w:tblGrid>
      <w:tr>
        <w:trPr/>
        <w:tc>
          <w:tcPr>
            <w:tcW w:w="4253"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70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1275"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110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4253" w:type="dxa"/>
            <w:tcBorders/>
            <w:shd w:fill="auto" w:val="clear"/>
          </w:tcPr>
          <w:p>
            <w:pPr>
              <w:pStyle w:val="ListParagraph"/>
              <w:spacing w:lineRule="auto" w:line="240" w:before="0" w:after="0"/>
              <w:ind w:left="0" w:hanging="11"/>
              <w:contextualSpacing/>
              <w:rPr>
                <w:rFonts w:cs="Times New Roman"/>
              </w:rPr>
            </w:pPr>
            <w:r>
              <w:rPr>
                <w:rFonts w:cs="Times New Roman"/>
              </w:rPr>
              <w:t>Объём инвестиций в основной капитал (за исключением бюджетных средств) в расчёте на 1 жителя района, тыс. руб.</w:t>
            </w:r>
          </w:p>
        </w:tc>
        <w:tc>
          <w:tcPr>
            <w:tcW w:w="170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7,8</w:t>
            </w:r>
          </w:p>
        </w:tc>
        <w:tc>
          <w:tcPr>
            <w:tcW w:w="1275"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10,8</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14,9</w:t>
            </w:r>
          </w:p>
        </w:tc>
        <w:tc>
          <w:tcPr>
            <w:tcW w:w="110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17,6</w:t>
            </w:r>
          </w:p>
        </w:tc>
      </w:tr>
      <w:tr>
        <w:trPr/>
        <w:tc>
          <w:tcPr>
            <w:tcW w:w="4253" w:type="dxa"/>
            <w:tcBorders/>
            <w:shd w:fill="auto" w:val="clear"/>
          </w:tcPr>
          <w:p>
            <w:pPr>
              <w:pStyle w:val="ListParagraph"/>
              <w:spacing w:lineRule="auto" w:line="240" w:before="0" w:after="0"/>
              <w:ind w:left="0" w:hanging="11"/>
              <w:contextualSpacing/>
              <w:rPr>
                <w:rFonts w:cs="Times New Roman"/>
                <w:spacing w:val="-4"/>
              </w:rPr>
            </w:pPr>
            <w:r>
              <w:rPr>
                <w:rFonts w:cs="Times New Roman"/>
                <w:spacing w:val="-4"/>
              </w:rPr>
              <w:t>Объем инвестиций в основной капитал, млн. рублей (без субъектов малого предпринимательства), млн. руб.</w:t>
            </w:r>
          </w:p>
        </w:tc>
        <w:tc>
          <w:tcPr>
            <w:tcW w:w="170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153,9</w:t>
            </w:r>
          </w:p>
        </w:tc>
        <w:tc>
          <w:tcPr>
            <w:tcW w:w="1275"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223,4</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303,6</w:t>
            </w:r>
          </w:p>
        </w:tc>
        <w:tc>
          <w:tcPr>
            <w:tcW w:w="110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 xml:space="preserve">304,9 </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Рычагами воздействия на ситуацию в инвестиционной сфере становятся инструменты управления, касающиеся создания благоприятных условий для размещения инвестиций на территории района и успешной реализации инвестиционных проектов.</w:t>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b/>
          <w:b/>
          <w:sz w:val="28"/>
          <w:szCs w:val="28"/>
        </w:rPr>
      </w:pPr>
      <w:r>
        <w:rPr>
          <w:rFonts w:cs="Times New Roman"/>
          <w:b/>
          <w:sz w:val="28"/>
          <w:szCs w:val="28"/>
        </w:rPr>
        <w:t>Задачи:</w:t>
      </w:r>
    </w:p>
    <w:p>
      <w:pPr>
        <w:pStyle w:val="ListParagraph"/>
        <w:numPr>
          <w:ilvl w:val="0"/>
          <w:numId w:val="37"/>
        </w:numPr>
        <w:suppressAutoHyphens w:val="false"/>
        <w:jc w:val="both"/>
        <w:rPr>
          <w:rFonts w:cs="Times New Roman"/>
          <w:sz w:val="28"/>
          <w:szCs w:val="28"/>
        </w:rPr>
      </w:pPr>
      <w:r>
        <w:rPr>
          <w:rFonts w:cs="Times New Roman"/>
          <w:sz w:val="28"/>
          <w:szCs w:val="28"/>
        </w:rPr>
        <w:t>Обеспечение открытости и доступности для всех инвесторов  информации, необходимой для осуществления инвестиционной деятельности.</w:t>
      </w:r>
    </w:p>
    <w:p>
      <w:pPr>
        <w:pStyle w:val="ListParagraph"/>
        <w:numPr>
          <w:ilvl w:val="0"/>
          <w:numId w:val="37"/>
        </w:numPr>
        <w:suppressAutoHyphens w:val="false"/>
        <w:jc w:val="both"/>
        <w:rPr>
          <w:rFonts w:cs="Times New Roman"/>
          <w:sz w:val="28"/>
          <w:szCs w:val="28"/>
        </w:rPr>
      </w:pPr>
      <w:r>
        <w:rPr>
          <w:rFonts w:cs="Times New Roman"/>
          <w:sz w:val="28"/>
          <w:szCs w:val="28"/>
        </w:rPr>
        <w:t>Увеличение количества инвестиционно-привлекательных земельных участков и площадок путём строительства объектов инженерной инфраструктуры.</w:t>
      </w:r>
    </w:p>
    <w:p>
      <w:pPr>
        <w:pStyle w:val="ListParagraph"/>
        <w:numPr>
          <w:ilvl w:val="0"/>
          <w:numId w:val="37"/>
        </w:numPr>
        <w:suppressAutoHyphens w:val="false"/>
        <w:jc w:val="both"/>
        <w:rPr>
          <w:rFonts w:cs="Times New Roman"/>
          <w:sz w:val="28"/>
          <w:szCs w:val="28"/>
        </w:rPr>
      </w:pPr>
      <w:r>
        <w:rPr>
          <w:rFonts w:cs="Times New Roman"/>
          <w:sz w:val="28"/>
          <w:szCs w:val="28"/>
        </w:rPr>
        <w:t>Выработка системы льгот и муниципальной поддержки инвестиционной деятельности.</w:t>
      </w:r>
    </w:p>
    <w:p>
      <w:pPr>
        <w:pStyle w:val="ListParagraph"/>
        <w:numPr>
          <w:ilvl w:val="0"/>
          <w:numId w:val="37"/>
        </w:numPr>
        <w:suppressAutoHyphens w:val="false"/>
        <w:jc w:val="both"/>
        <w:rPr>
          <w:rFonts w:cs="Times New Roman"/>
          <w:sz w:val="28"/>
          <w:szCs w:val="28"/>
        </w:rPr>
      </w:pPr>
      <w:r>
        <w:rPr>
          <w:rFonts w:cs="Times New Roman"/>
          <w:sz w:val="28"/>
          <w:szCs w:val="28"/>
        </w:rPr>
        <w:t>Минимизация административных барьеров при реализации инвестиционных проектов.</w:t>
      </w:r>
    </w:p>
    <w:p>
      <w:pPr>
        <w:pStyle w:val="ListParagraph"/>
        <w:numPr>
          <w:ilvl w:val="0"/>
          <w:numId w:val="37"/>
        </w:numPr>
        <w:suppressAutoHyphens w:val="false"/>
        <w:jc w:val="both"/>
        <w:rPr>
          <w:rFonts w:cs="Times New Roman"/>
          <w:sz w:val="28"/>
          <w:szCs w:val="28"/>
        </w:rPr>
      </w:pPr>
      <w:r>
        <w:rPr>
          <w:rFonts w:cs="Times New Roman"/>
          <w:sz w:val="28"/>
          <w:szCs w:val="28"/>
        </w:rPr>
        <w:t>Обеспечение инвесторов достаточным количеством квалифицированных кадров для реализации инвестиционных проектов.</w:t>
      </w:r>
    </w:p>
    <w:p>
      <w:pPr>
        <w:pStyle w:val="ListParagraph"/>
        <w:ind w:left="0" w:hanging="0"/>
        <w:rPr>
          <w:rFonts w:cs="Times New Roman"/>
          <w:b/>
          <w:b/>
          <w:sz w:val="28"/>
          <w:szCs w:val="28"/>
        </w:rPr>
      </w:pPr>
      <w:r>
        <w:rPr>
          <w:rFonts w:cs="Times New Roman"/>
          <w:b/>
          <w:sz w:val="28"/>
          <w:szCs w:val="28"/>
        </w:rPr>
      </w:r>
    </w:p>
    <w:p>
      <w:pPr>
        <w:pStyle w:val="32"/>
        <w:rPr>
          <w:i w:val="false"/>
          <w:i w:val="false"/>
        </w:rPr>
      </w:pPr>
      <w:bookmarkStart w:id="58" w:name="_Toc4405023"/>
      <w:r>
        <w:rPr>
          <w:i w:val="false"/>
        </w:rPr>
        <w:t>2.2.5. Улучшение предпринимательской среды</w:t>
      </w:r>
      <w:bookmarkEnd w:id="58"/>
    </w:p>
    <w:p>
      <w:pPr>
        <w:pStyle w:val="Normal"/>
        <w:ind w:firstLine="709"/>
        <w:jc w:val="both"/>
        <w:rPr>
          <w:rFonts w:cs="Times New Roman"/>
          <w:sz w:val="28"/>
          <w:szCs w:val="28"/>
        </w:rPr>
      </w:pPr>
      <w:r>
        <w:rPr>
          <w:rFonts w:cs="Times New Roman"/>
          <w:sz w:val="28"/>
          <w:szCs w:val="28"/>
        </w:rPr>
        <w:t xml:space="preserve">Данный приоритет является одной из важных составляющих развития экономики Тереньгульского района, так как именно субъекты предпринимательства формируют новые рабочие места, новые рыночные ниши и точки экономического роста района. На сегодняшний день доля малого и среднего бизнеса в объёмах отгрузки товаров собственного производства на территории района составляет 48%, что уже соответствует задачам, установленным в национальном проекте «Малое и среднее предпринимательство и индивидуальная предпринимательская инициатива». </w:t>
      </w:r>
    </w:p>
    <w:p>
      <w:pPr>
        <w:pStyle w:val="ListParagraph"/>
        <w:ind w:left="0" w:firstLine="709"/>
        <w:jc w:val="both"/>
        <w:rPr>
          <w:rFonts w:cs="Times New Roman"/>
          <w:b/>
          <w:b/>
          <w:i/>
          <w:i/>
          <w:sz w:val="28"/>
          <w:szCs w:val="28"/>
        </w:rPr>
      </w:pPr>
      <w:r>
        <w:rPr>
          <w:rFonts w:cs="Times New Roman"/>
          <w:b/>
          <w:i/>
          <w:sz w:val="28"/>
          <w:szCs w:val="28"/>
        </w:rPr>
        <w:t xml:space="preserve">Подцель </w:t>
      </w:r>
      <w:r>
        <w:rPr>
          <w:rFonts w:eastAsia="Symbol" w:cs="Symbol" w:ascii="Symbol" w:hAnsi="Symbol"/>
          <w:b/>
          <w:i/>
          <w:sz w:val="28"/>
          <w:szCs w:val="28"/>
        </w:rPr>
        <w:t></w:t>
      </w:r>
      <w:r>
        <w:rPr>
          <w:rFonts w:cs="Times New Roman"/>
          <w:b/>
          <w:i/>
          <w:sz w:val="28"/>
          <w:szCs w:val="28"/>
        </w:rPr>
        <w:t xml:space="preserve"> рост доли занятых в малом и среднем предпринимательстве, включая индивидуальных предпринимателей, в общей численности занятых в экономике Тереньгульского района до 38% к 2030 году.</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639" w:type="dxa"/>
        <w:jc w:val="left"/>
        <w:tblInd w:w="108" w:type="dxa"/>
        <w:tblCellMar>
          <w:top w:w="0" w:type="dxa"/>
          <w:left w:w="108" w:type="dxa"/>
          <w:bottom w:w="0" w:type="dxa"/>
          <w:right w:w="108" w:type="dxa"/>
        </w:tblCellMar>
        <w:tblLook w:noVBand="1" w:val="04a0" w:noHBand="0" w:lastColumn="0" w:firstColumn="1" w:lastRow="0" w:firstRow="1"/>
      </w:tblPr>
      <w:tblGrid>
        <w:gridCol w:w="5387"/>
        <w:gridCol w:w="1417"/>
        <w:gridCol w:w="850"/>
        <w:gridCol w:w="993"/>
        <w:gridCol w:w="992"/>
      </w:tblGrid>
      <w:tr>
        <w:trPr/>
        <w:tc>
          <w:tcPr>
            <w:tcW w:w="5387"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85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387" w:type="dxa"/>
            <w:tcBorders/>
            <w:shd w:fill="auto" w:val="clear"/>
          </w:tcPr>
          <w:p>
            <w:pPr>
              <w:pStyle w:val="ListParagraph"/>
              <w:spacing w:lineRule="auto" w:line="240" w:before="0" w:after="0"/>
              <w:ind w:left="0" w:hanging="11"/>
              <w:contextualSpacing/>
              <w:jc w:val="both"/>
              <w:rPr>
                <w:rFonts w:cs="Times New Roman"/>
                <w:spacing w:val="-4"/>
                <w:highlight w:val="yellow"/>
              </w:rPr>
            </w:pPr>
            <w:r>
              <w:rPr>
                <w:rFonts w:cs="Times New Roman"/>
                <w:spacing w:val="-4"/>
              </w:rPr>
              <w:t>Число субъектов малого и среднего предпринимательства, зарегистрированных на территории района, в расчёте на 1000 населения, ед.</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highlight w:val="yellow"/>
              </w:rPr>
            </w:pPr>
            <w:r>
              <w:rPr>
                <w:rFonts w:cs="Times New Roman"/>
              </w:rPr>
              <w:t>21</w:t>
            </w:r>
          </w:p>
        </w:tc>
        <w:tc>
          <w:tcPr>
            <w:tcW w:w="850" w:type="dxa"/>
            <w:tcBorders/>
            <w:shd w:fill="auto" w:val="clear"/>
            <w:vAlign w:val="center"/>
          </w:tcPr>
          <w:p>
            <w:pPr>
              <w:pStyle w:val="ListParagraph"/>
              <w:spacing w:lineRule="auto" w:line="240" w:before="0" w:after="0"/>
              <w:ind w:left="0" w:firstLine="34"/>
              <w:contextualSpacing/>
              <w:jc w:val="center"/>
              <w:rPr>
                <w:rFonts w:cs="Times New Roman"/>
                <w:highlight w:val="yellow"/>
              </w:rPr>
            </w:pPr>
            <w:r>
              <w:rPr>
                <w:rFonts w:cs="Times New Roman"/>
              </w:rPr>
              <w:t>21,4</w:t>
            </w:r>
          </w:p>
        </w:tc>
        <w:tc>
          <w:tcPr>
            <w:tcW w:w="993" w:type="dxa"/>
            <w:tcBorders/>
            <w:shd w:fill="auto" w:val="clear"/>
            <w:vAlign w:val="center"/>
          </w:tcPr>
          <w:p>
            <w:pPr>
              <w:pStyle w:val="ListParagraph"/>
              <w:spacing w:lineRule="auto" w:line="240" w:before="0" w:after="0"/>
              <w:ind w:left="0" w:firstLine="34"/>
              <w:contextualSpacing/>
              <w:jc w:val="center"/>
              <w:rPr>
                <w:rFonts w:cs="Times New Roman"/>
                <w:highlight w:val="yellow"/>
              </w:rPr>
            </w:pPr>
            <w:r>
              <w:rPr>
                <w:rFonts w:cs="Times New Roman"/>
              </w:rPr>
              <w:t>22,3</w:t>
            </w:r>
          </w:p>
        </w:tc>
        <w:tc>
          <w:tcPr>
            <w:tcW w:w="992" w:type="dxa"/>
            <w:tcBorders/>
            <w:shd w:fill="auto" w:val="clear"/>
            <w:vAlign w:val="center"/>
          </w:tcPr>
          <w:p>
            <w:pPr>
              <w:pStyle w:val="ListParagraph"/>
              <w:spacing w:lineRule="auto" w:line="240" w:before="0" w:after="0"/>
              <w:ind w:left="0" w:firstLine="34"/>
              <w:contextualSpacing/>
              <w:jc w:val="center"/>
              <w:rPr>
                <w:rFonts w:cs="Times New Roman"/>
                <w:highlight w:val="yellow"/>
              </w:rPr>
            </w:pPr>
            <w:r>
              <w:rPr>
                <w:rFonts w:cs="Times New Roman"/>
              </w:rPr>
              <w:t>23,7</w:t>
            </w:r>
          </w:p>
        </w:tc>
      </w:tr>
      <w:tr>
        <w:trPr/>
        <w:tc>
          <w:tcPr>
            <w:tcW w:w="5387" w:type="dxa"/>
            <w:tcBorders/>
            <w:shd w:fill="auto" w:val="clear"/>
          </w:tcPr>
          <w:p>
            <w:pPr>
              <w:pStyle w:val="ListParagraph"/>
              <w:spacing w:lineRule="auto" w:line="240" w:before="0" w:after="0"/>
              <w:ind w:left="0" w:hanging="11"/>
              <w:contextualSpacing/>
              <w:jc w:val="both"/>
              <w:rPr>
                <w:rFonts w:cs="Times New Roman"/>
                <w:highlight w:val="yellow"/>
              </w:rPr>
            </w:pPr>
            <w:r>
              <w:rPr>
                <w:rFonts w:cs="Times New Roman"/>
                <w:color w:val="000000" w:themeColor="text1"/>
              </w:rPr>
              <w:t>Доля занятых в малом и среднем предпринимательстве, включая индивидуальных предпринимателей, в общей численности занятых в экономике муниципальных районов, %</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33,4</w:t>
            </w:r>
          </w:p>
        </w:tc>
        <w:tc>
          <w:tcPr>
            <w:tcW w:w="85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34,4</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36,1</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38,0</w:t>
            </w:r>
          </w:p>
        </w:tc>
      </w:tr>
      <w:tr>
        <w:trPr/>
        <w:tc>
          <w:tcPr>
            <w:tcW w:w="5387" w:type="dxa"/>
            <w:tcBorders/>
            <w:shd w:fill="auto" w:val="clear"/>
          </w:tcPr>
          <w:p>
            <w:pPr>
              <w:pStyle w:val="ListParagraph"/>
              <w:spacing w:lineRule="auto" w:line="240" w:before="0" w:after="0"/>
              <w:ind w:left="0" w:hanging="11"/>
              <w:contextualSpacing/>
              <w:jc w:val="both"/>
              <w:rPr>
                <w:rFonts w:cs="Times New Roman"/>
                <w:color w:val="000000" w:themeColor="text1"/>
              </w:rPr>
            </w:pPr>
            <w:r>
              <w:rPr>
                <w:rFonts w:cs="Times New Roman"/>
                <w:color w:val="000000" w:themeColor="text1"/>
              </w:rPr>
              <w:t>Количество субъектов МСП и самозанятых граждан, получивших поддержку в рамках проекта, единиц нарастающим итогом</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tc>
        <w:tc>
          <w:tcPr>
            <w:tcW w:w="85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tc>
      </w:tr>
    </w:tbl>
    <w:p>
      <w:pPr>
        <w:pStyle w:val="ListParagraph"/>
        <w:ind w:left="0" w:firstLine="709"/>
        <w:jc w:val="both"/>
        <w:rPr>
          <w:rFonts w:cs="Times New Roman"/>
          <w:b/>
          <w:b/>
          <w:sz w:val="28"/>
          <w:szCs w:val="28"/>
        </w:rPr>
      </w:pPr>
      <w:r>
        <w:rPr>
          <w:rFonts w:cs="Times New Roman"/>
          <w:b/>
          <w:sz w:val="28"/>
          <w:szCs w:val="28"/>
        </w:rPr>
      </w:r>
    </w:p>
    <w:p>
      <w:pPr>
        <w:pStyle w:val="ListParagraph"/>
        <w:ind w:left="0" w:firstLine="709"/>
        <w:jc w:val="both"/>
        <w:rPr>
          <w:rFonts w:cs="Times New Roman"/>
          <w:b/>
          <w:b/>
          <w:sz w:val="28"/>
          <w:szCs w:val="28"/>
        </w:rPr>
      </w:pPr>
      <w:r>
        <w:rPr>
          <w:rFonts w:cs="Times New Roman"/>
          <w:b/>
          <w:sz w:val="28"/>
          <w:szCs w:val="28"/>
        </w:rPr>
        <w:t>Задачи:</w:t>
      </w:r>
    </w:p>
    <w:p>
      <w:pPr>
        <w:pStyle w:val="ListParagraph"/>
        <w:numPr>
          <w:ilvl w:val="0"/>
          <w:numId w:val="38"/>
        </w:numPr>
        <w:tabs>
          <w:tab w:val="clear" w:pos="708"/>
          <w:tab w:val="left" w:pos="993" w:leader="none"/>
        </w:tabs>
        <w:suppressAutoHyphens w:val="false"/>
        <w:jc w:val="both"/>
        <w:rPr>
          <w:rFonts w:cs="Times New Roman"/>
          <w:sz w:val="28"/>
          <w:szCs w:val="28"/>
        </w:rPr>
      </w:pPr>
      <w:r>
        <w:rPr>
          <w:rFonts w:cs="Times New Roman"/>
          <w:sz w:val="28"/>
          <w:szCs w:val="28"/>
        </w:rPr>
        <w:t>Создание механизмов финансовой поддержки субъектов малого и среднего предпринимательства на территории муниципального района.</w:t>
      </w:r>
    </w:p>
    <w:p>
      <w:pPr>
        <w:pStyle w:val="ListParagraph"/>
        <w:numPr>
          <w:ilvl w:val="0"/>
          <w:numId w:val="38"/>
        </w:numPr>
        <w:tabs>
          <w:tab w:val="clear" w:pos="708"/>
          <w:tab w:val="left" w:pos="993" w:leader="none"/>
        </w:tabs>
        <w:suppressAutoHyphens w:val="false"/>
        <w:jc w:val="both"/>
        <w:rPr>
          <w:rFonts w:cs="Times New Roman"/>
          <w:b/>
          <w:b/>
          <w:sz w:val="28"/>
          <w:szCs w:val="28"/>
        </w:rPr>
      </w:pPr>
      <w:r>
        <w:rPr>
          <w:rFonts w:cs="Times New Roman"/>
          <w:sz w:val="28"/>
          <w:szCs w:val="28"/>
        </w:rPr>
        <w:t>Популяризация и пропаганда предпринимательской деятельности среди жителей разных категорий возрастов.</w:t>
      </w:r>
    </w:p>
    <w:p>
      <w:pPr>
        <w:pStyle w:val="ListParagraph"/>
        <w:numPr>
          <w:ilvl w:val="0"/>
          <w:numId w:val="38"/>
        </w:numPr>
        <w:tabs>
          <w:tab w:val="clear" w:pos="708"/>
          <w:tab w:val="left" w:pos="993" w:leader="none"/>
        </w:tabs>
        <w:suppressAutoHyphens w:val="false"/>
        <w:jc w:val="both"/>
        <w:rPr>
          <w:rFonts w:cs="Times New Roman"/>
          <w:sz w:val="28"/>
          <w:szCs w:val="28"/>
        </w:rPr>
      </w:pPr>
      <w:r>
        <w:rPr>
          <w:rFonts w:cs="Times New Roman"/>
          <w:sz w:val="28"/>
          <w:szCs w:val="28"/>
        </w:rPr>
        <w:t>Информационное и аналитическое сопровождение субъектов малого и среднего предпринимательства по вопросам создания нового бизнеса, мер поддержки, оказываемых на территории района и области.</w:t>
      </w:r>
    </w:p>
    <w:p>
      <w:pPr>
        <w:pStyle w:val="ListParagraph"/>
        <w:numPr>
          <w:ilvl w:val="0"/>
          <w:numId w:val="38"/>
        </w:numPr>
        <w:tabs>
          <w:tab w:val="clear" w:pos="708"/>
          <w:tab w:val="left" w:pos="993" w:leader="none"/>
        </w:tabs>
        <w:suppressAutoHyphens w:val="false"/>
        <w:jc w:val="both"/>
        <w:rPr>
          <w:rFonts w:cs="Times New Roman"/>
          <w:sz w:val="28"/>
          <w:szCs w:val="28"/>
        </w:rPr>
      </w:pPr>
      <w:r>
        <w:rPr>
          <w:rFonts w:cs="Times New Roman"/>
          <w:sz w:val="28"/>
          <w:szCs w:val="28"/>
        </w:rPr>
        <w:t>Развитие новых сфер малого и среднего предпринимательства на территории муниципального района (обрабатывающие производства, гостиницы и рестораны, строительство, туристские и т.д.).</w:t>
      </w:r>
    </w:p>
    <w:p>
      <w:pPr>
        <w:pStyle w:val="ListParagraph"/>
        <w:numPr>
          <w:ilvl w:val="0"/>
          <w:numId w:val="38"/>
        </w:numPr>
        <w:tabs>
          <w:tab w:val="clear" w:pos="708"/>
          <w:tab w:val="left" w:pos="993" w:leader="none"/>
        </w:tabs>
        <w:suppressAutoHyphens w:val="false"/>
        <w:jc w:val="both"/>
        <w:rPr>
          <w:rFonts w:cs="Times New Roman"/>
          <w:sz w:val="28"/>
          <w:szCs w:val="28"/>
        </w:rPr>
      </w:pPr>
      <w:r>
        <w:rPr>
          <w:rFonts w:cs="Times New Roman"/>
          <w:sz w:val="28"/>
          <w:szCs w:val="28"/>
        </w:rPr>
        <w:t xml:space="preserve">Развитие системы платных услуг в социальной сфере (дошкольное образование, репетиторство, спорт, центры досуга и творчества и т.д.). </w:t>
      </w:r>
    </w:p>
    <w:p>
      <w:pPr>
        <w:pStyle w:val="ListParagraph"/>
        <w:numPr>
          <w:ilvl w:val="0"/>
          <w:numId w:val="38"/>
        </w:numPr>
        <w:tabs>
          <w:tab w:val="clear" w:pos="708"/>
          <w:tab w:val="left" w:pos="993" w:leader="none"/>
        </w:tabs>
        <w:suppressAutoHyphens w:val="false"/>
        <w:jc w:val="both"/>
        <w:rPr>
          <w:rFonts w:cs="Times New Roman"/>
          <w:sz w:val="28"/>
          <w:szCs w:val="28"/>
        </w:rPr>
      </w:pPr>
      <w:r>
        <w:rPr>
          <w:rFonts w:cs="Times New Roman"/>
          <w:sz w:val="28"/>
          <w:szCs w:val="28"/>
        </w:rPr>
        <w:t xml:space="preserve">Организация и проведение муниципальных конкурсов бизнес-идей </w:t>
        <w:br/>
        <w:t>с последующим выдвижением победителей для участия в федеральных и региональных программах и конкурсах.</w:t>
      </w:r>
    </w:p>
    <w:p>
      <w:pPr>
        <w:pStyle w:val="Normal"/>
        <w:tabs>
          <w:tab w:val="clear" w:pos="708"/>
          <w:tab w:val="left" w:pos="993" w:leader="none"/>
        </w:tabs>
        <w:jc w:val="both"/>
        <w:rPr>
          <w:rFonts w:cs="Times New Roman"/>
          <w:sz w:val="28"/>
          <w:szCs w:val="28"/>
        </w:rPr>
      </w:pPr>
      <w:r>
        <w:rPr>
          <w:rFonts w:cs="Times New Roman"/>
          <w:sz w:val="28"/>
          <w:szCs w:val="28"/>
        </w:rPr>
      </w:r>
    </w:p>
    <w:p>
      <w:pPr>
        <w:pStyle w:val="32"/>
        <w:rPr>
          <w:rFonts w:eastAsia="Calibri"/>
          <w:i w:val="false"/>
          <w:i w:val="false"/>
        </w:rPr>
      </w:pPr>
      <w:bookmarkStart w:id="59" w:name="_Toc4405024"/>
      <w:r>
        <w:rPr>
          <w:rFonts w:eastAsia="Calibri"/>
          <w:i w:val="false"/>
        </w:rPr>
        <w:t>2.2.6. Повышение доходов населения</w:t>
      </w:r>
      <w:bookmarkEnd w:id="59"/>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Главной составляющей уровня жизни населения является наличие работы и достойный уровень оплаты труда. </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 - доведение уровня среднемесячной номинальной заработной платы до уровня не ниже 86% от среднеобластного значения к 2030 году.</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noVBand="1" w:val="04a0" w:noHBand="0" w:lastColumn="0" w:firstColumn="1" w:lastRow="0" w:firstRow="1"/>
      </w:tblPr>
      <w:tblGrid>
        <w:gridCol w:w="4535"/>
        <w:gridCol w:w="1422"/>
        <w:gridCol w:w="1273"/>
        <w:gridCol w:w="1274"/>
        <w:gridCol w:w="1101"/>
      </w:tblGrid>
      <w:tr>
        <w:trPr/>
        <w:tc>
          <w:tcPr>
            <w:tcW w:w="4535"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42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1"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535"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Среднемесячная номинальная заработная плата, тыс. рублей</w:t>
            </w:r>
          </w:p>
        </w:tc>
        <w:tc>
          <w:tcPr>
            <w:tcW w:w="142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20088,2</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24608,9</w:t>
            </w:r>
          </w:p>
        </w:tc>
        <w:tc>
          <w:tcPr>
            <w:tcW w:w="127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32257,3</w:t>
            </w:r>
          </w:p>
        </w:tc>
        <w:tc>
          <w:tcPr>
            <w:tcW w:w="1101"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48409,4</w:t>
            </w:r>
          </w:p>
        </w:tc>
      </w:tr>
      <w:tr>
        <w:trPr/>
        <w:tc>
          <w:tcPr>
            <w:tcW w:w="4535"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Численность населения, получающего меры социальной поддержки с доходами ниже величины прожиточного минимума</w:t>
            </w:r>
          </w:p>
        </w:tc>
        <w:tc>
          <w:tcPr>
            <w:tcW w:w="142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895</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672</w:t>
            </w:r>
          </w:p>
        </w:tc>
        <w:tc>
          <w:tcPr>
            <w:tcW w:w="127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660</w:t>
            </w:r>
          </w:p>
        </w:tc>
        <w:tc>
          <w:tcPr>
            <w:tcW w:w="1101"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632</w:t>
            </w:r>
          </w:p>
        </w:tc>
      </w:tr>
      <w:tr>
        <w:trPr/>
        <w:tc>
          <w:tcPr>
            <w:tcW w:w="4535"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Уровень регистрируемой безработицы, %</w:t>
            </w:r>
          </w:p>
        </w:tc>
        <w:tc>
          <w:tcPr>
            <w:tcW w:w="142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0,41</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0,34</w:t>
            </w:r>
          </w:p>
        </w:tc>
        <w:tc>
          <w:tcPr>
            <w:tcW w:w="127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0,34</w:t>
            </w:r>
          </w:p>
        </w:tc>
        <w:tc>
          <w:tcPr>
            <w:tcW w:w="1101"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0,34</w:t>
            </w:r>
          </w:p>
        </w:tc>
      </w:tr>
    </w:tbl>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Доля населения с доходами ниже величины прожиточного минимума, получающего меры социальной поддержки в денежной форме, не должна превышать 4%. Так как </w:t>
      </w:r>
      <w:r>
        <w:rPr>
          <w:rFonts w:eastAsia="Calibri" w:cs="Times New Roman"/>
          <w:b/>
          <w:sz w:val="28"/>
          <w:szCs w:val="28"/>
        </w:rPr>
        <w:t>меры социальной поддержки</w:t>
      </w:r>
      <w:r>
        <w:rPr>
          <w:rFonts w:eastAsia="Calibri" w:cs="Times New Roman"/>
          <w:sz w:val="28"/>
          <w:szCs w:val="28"/>
        </w:rPr>
        <w:t xml:space="preserve"> (в денежной форме) являются одним из источников обеспечения денежных доходов нуждающихся граждан (малообеспеченных граждан, находящихся в трудной жизненной ситуации, пожилых людей, инвалидов, многодетных семей, ветеранов ВОВ и боевых действий), инструментом предотвращения бедности, необходимо расширять спектр социальных услуг и не допускать сокращения мер социальной поддержки. Необходимо регулярно оценивать эффективность мер социальной поддержки. На первый план должен выйти принцип адресности и нуждаемости. Одним из важнейших инструментов социальной поддержки должен стать социальный контракт.</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tabs>
          <w:tab w:val="clear" w:pos="708"/>
          <w:tab w:val="left" w:pos="993" w:leader="none"/>
        </w:tabs>
        <w:spacing w:before="0" w:after="0"/>
        <w:ind w:firstLine="709"/>
        <w:contextualSpacing/>
        <w:jc w:val="both"/>
        <w:rPr>
          <w:rFonts w:eastAsia="Calibri" w:cs="Times New Roman"/>
          <w:sz w:val="28"/>
          <w:szCs w:val="28"/>
        </w:rPr>
      </w:pPr>
      <w:r>
        <w:rPr>
          <w:rFonts w:eastAsia="Calibri" w:cs="Times New Roman"/>
          <w:sz w:val="28"/>
          <w:szCs w:val="28"/>
        </w:rPr>
        <w:t>1.</w:t>
        <w:tab/>
        <w:t>Создание благоприятного инвестиционного климата, привлечение не менее 4 инвесторов, создание не менее 400 новых рабочих мест с уровнем оплаты труда не ниже среднеобластных значений.</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2. Обеспечение темпа роста номинальной заработной платы на уровне не ниже 107%.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3. Доведение уровня оплаты труда категорий работников, обозначенных в Указе Президента РФ от 07.05.2012 № 597 «О мероприятиях по реализации государственной социальной политики», до целевых значений.</w:t>
      </w:r>
    </w:p>
    <w:p>
      <w:pPr>
        <w:pStyle w:val="Normal"/>
        <w:spacing w:before="0" w:after="0"/>
        <w:ind w:firstLine="709"/>
        <w:contextualSpacing/>
        <w:jc w:val="both"/>
        <w:rPr>
          <w:rFonts w:eastAsia="Calibri" w:cs="Times New Roman"/>
          <w:sz w:val="28"/>
          <w:szCs w:val="28"/>
        </w:rPr>
      </w:pPr>
      <w:r>
        <w:rPr>
          <w:rFonts w:eastAsia="Calibri" w:cs="Times New Roman"/>
          <w:sz w:val="28"/>
          <w:szCs w:val="28"/>
        </w:rPr>
        <w:t>4. Обеспечить доведение минимального размера оплаты труда</w:t>
      </w:r>
      <w:r>
        <w:rPr>
          <w:rFonts w:eastAsia="Calibri" w:cs="Times New Roman" w:ascii="Calibri" w:hAnsi="Calibri"/>
        </w:rPr>
        <w:t xml:space="preserve"> </w:t>
      </w:r>
      <w:r>
        <w:rPr>
          <w:rFonts w:eastAsia="Calibri" w:cs="Times New Roman"/>
          <w:sz w:val="28"/>
          <w:szCs w:val="28"/>
        </w:rPr>
        <w:t xml:space="preserve">работников бюджетной сферы до минимального размера оплаты труда работников внебюджетного сектора экономики и среднего предпринимательства. </w:t>
      </w:r>
    </w:p>
    <w:p>
      <w:pPr>
        <w:pStyle w:val="Normal"/>
        <w:suppressAutoHyphens w:val="false"/>
        <w:spacing w:lineRule="auto" w:line="276" w:before="0" w:after="200"/>
        <w:rPr>
          <w:rFonts w:eastAsia="Calibri" w:cs="Times New Roman"/>
          <w:sz w:val="28"/>
          <w:szCs w:val="28"/>
        </w:rPr>
      </w:pPr>
      <w:r>
        <w:rPr>
          <w:rFonts w:eastAsia="Calibri" w:cs="Times New Roman"/>
          <w:sz w:val="28"/>
          <w:szCs w:val="28"/>
        </w:rPr>
      </w:r>
      <w:r>
        <w:br w:type="page"/>
      </w:r>
    </w:p>
    <w:p>
      <w:pPr>
        <w:pStyle w:val="01"/>
        <w:rPr/>
      </w:pPr>
      <w:bookmarkStart w:id="60" w:name="_Toc4405025"/>
      <w:r>
        <w:rPr/>
        <w:t>2.3. РАЗВИТИЕ ИНФРАСТРУКТУРЫ ЖИЗНЕОБЕСПЕЧЕНИЯ</w:t>
        <w:br/>
        <w:t>И СБАЛАНСИРОВАННОГО ПРОСТРАНСТВЕННОГО РАЗВИТИЯ</w:t>
      </w:r>
      <w:bookmarkEnd w:id="60"/>
    </w:p>
    <w:p>
      <w:pPr>
        <w:pStyle w:val="01"/>
        <w:rPr/>
      </w:pPr>
      <w:r>
        <w:rPr/>
      </w:r>
    </w:p>
    <w:tbl>
      <w:tblPr>
        <w:tblStyle w:val="af1"/>
        <w:tblW w:w="9606" w:type="dxa"/>
        <w:jc w:val="left"/>
        <w:tblInd w:w="0" w:type="dxa"/>
        <w:tblCellMar>
          <w:top w:w="0" w:type="dxa"/>
          <w:left w:w="108" w:type="dxa"/>
          <w:bottom w:w="0" w:type="dxa"/>
          <w:right w:w="108" w:type="dxa"/>
        </w:tblCellMar>
        <w:tblLook w:noVBand="1" w:val="04a0" w:noHBand="0" w:lastColumn="0" w:firstColumn="1" w:lastRow="0" w:firstRow="1"/>
      </w:tblPr>
      <w:tblGrid>
        <w:gridCol w:w="815"/>
        <w:gridCol w:w="4395"/>
        <w:gridCol w:w="4396"/>
      </w:tblGrid>
      <w:tr>
        <w:trPr/>
        <w:tc>
          <w:tcPr>
            <w:tcW w:w="815"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b/>
                <w:b/>
              </w:rPr>
            </w:pPr>
            <w:r>
              <w:rPr>
                <w:rFonts w:cs="Times New Roman"/>
                <w:i/>
              </w:rPr>
              <w:t>Транспортная инфраструктура</w:t>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1"/>
              </w:numPr>
              <w:tabs>
                <w:tab w:val="clear" w:pos="708"/>
                <w:tab w:val="left" w:pos="0" w:leader="none"/>
              </w:tabs>
              <w:suppressAutoHyphens w:val="false"/>
              <w:spacing w:lineRule="auto" w:line="240" w:before="0" w:after="0"/>
              <w:ind w:left="317" w:hanging="283"/>
              <w:contextualSpacing/>
              <w:jc w:val="both"/>
              <w:rPr>
                <w:rFonts w:cs="Times New Roman"/>
              </w:rPr>
            </w:pPr>
            <w:r>
              <w:rPr>
                <w:rFonts w:cs="Times New Roman"/>
              </w:rPr>
              <w:t>Выгодное географическое положение муниципального образования (расстояние до г. Ульяновска составляет 75 км, до г. Сызрани – 66 км).</w:t>
            </w:r>
          </w:p>
          <w:p>
            <w:pPr>
              <w:pStyle w:val="ListParagraph"/>
              <w:numPr>
                <w:ilvl w:val="0"/>
                <w:numId w:val="1"/>
              </w:numPr>
              <w:suppressAutoHyphens w:val="false"/>
              <w:spacing w:lineRule="auto" w:line="240" w:before="0" w:after="0"/>
              <w:ind w:left="317" w:hanging="283"/>
              <w:contextualSpacing/>
              <w:jc w:val="both"/>
              <w:rPr>
                <w:rFonts w:cs="Times New Roman"/>
                <w:b/>
                <w:b/>
                <w:spacing w:val="-4"/>
              </w:rPr>
            </w:pPr>
            <w:r>
              <w:rPr>
                <w:rFonts w:cs="Times New Roman"/>
                <w:spacing w:val="-4"/>
              </w:rPr>
              <w:t>Наличие крупных транзитных транспортных путей федерального значения, проходящих по территории муниципального образования (железнодорожная ветка Ульяновск – Сызрань, автомобильная трасса федерального значения Сызрань – Цивильск (М-5).</w:t>
            </w:r>
          </w:p>
          <w:p>
            <w:pPr>
              <w:pStyle w:val="ListParagraph"/>
              <w:numPr>
                <w:ilvl w:val="0"/>
                <w:numId w:val="1"/>
              </w:numPr>
              <w:suppressAutoHyphens w:val="false"/>
              <w:spacing w:lineRule="auto" w:line="240" w:before="0" w:after="0"/>
              <w:ind w:left="317" w:hanging="283"/>
              <w:contextualSpacing/>
              <w:jc w:val="both"/>
              <w:rPr>
                <w:rFonts w:cs="Times New Roman"/>
              </w:rPr>
            </w:pPr>
            <w:r>
              <w:rPr>
                <w:rFonts w:cs="Times New Roman"/>
              </w:rPr>
              <w:t xml:space="preserve">Близкое расположение крупных транспортных хабов (международных аэропортов, речного порта </w:t>
              <w:br/>
              <w:t>на р.</w:t>
            </w:r>
            <w:r>
              <w:rPr>
                <w:rFonts w:cs="Times New Roman"/>
                <w:sz w:val="18"/>
              </w:rPr>
              <w:t xml:space="preserve"> </w:t>
            </w:r>
            <w:r>
              <w:rPr>
                <w:rFonts w:cs="Times New Roman"/>
              </w:rPr>
              <w:t>Волга).</w:t>
            </w:r>
          </w:p>
        </w:tc>
        <w:tc>
          <w:tcPr>
            <w:tcW w:w="4396" w:type="dxa"/>
            <w:tcBorders/>
            <w:shd w:fill="auto" w:val="clear"/>
          </w:tcPr>
          <w:p>
            <w:pPr>
              <w:pStyle w:val="ListParagraph"/>
              <w:numPr>
                <w:ilvl w:val="0"/>
                <w:numId w:val="2"/>
              </w:numPr>
              <w:suppressAutoHyphens w:val="false"/>
              <w:spacing w:lineRule="auto" w:line="240" w:before="0" w:after="0"/>
              <w:ind w:left="318" w:hanging="284"/>
              <w:contextualSpacing/>
              <w:jc w:val="both"/>
              <w:rPr>
                <w:rFonts w:cs="Times New Roman"/>
              </w:rPr>
            </w:pPr>
            <w:r>
              <w:rPr>
                <w:rFonts w:cs="Times New Roman"/>
              </w:rPr>
              <w:t>Значительная протяжённость автомобильных дорог с твёрдым покрытием, не соответствующих федеральным нормативам.</w:t>
            </w:r>
          </w:p>
          <w:p>
            <w:pPr>
              <w:pStyle w:val="ListParagraph"/>
              <w:numPr>
                <w:ilvl w:val="0"/>
                <w:numId w:val="2"/>
              </w:numPr>
              <w:suppressAutoHyphens w:val="false"/>
              <w:spacing w:lineRule="auto" w:line="240" w:before="0" w:after="0"/>
              <w:ind w:left="318" w:hanging="284"/>
              <w:contextualSpacing/>
              <w:jc w:val="both"/>
              <w:rPr>
                <w:rFonts w:cs="Times New Roman"/>
                <w:b/>
                <w:b/>
              </w:rPr>
            </w:pPr>
            <w:r>
              <w:rPr>
                <w:rFonts w:cs="Times New Roman"/>
              </w:rPr>
              <w:t>Отсутствие, оборудованных в соответствии с федеральными стандартами зон освещения как внутри населённых пунктов, так и за их пределами.</w:t>
            </w:r>
          </w:p>
          <w:p>
            <w:pPr>
              <w:pStyle w:val="ListParagraph"/>
              <w:numPr>
                <w:ilvl w:val="0"/>
                <w:numId w:val="2"/>
              </w:numPr>
              <w:suppressAutoHyphens w:val="false"/>
              <w:spacing w:lineRule="auto" w:line="240" w:before="0" w:after="0"/>
              <w:ind w:left="318" w:hanging="284"/>
              <w:contextualSpacing/>
              <w:jc w:val="both"/>
              <w:rPr>
                <w:rFonts w:cs="Times New Roman"/>
              </w:rPr>
            </w:pPr>
            <w:r>
              <w:rPr>
                <w:rFonts w:cs="Times New Roman"/>
              </w:rPr>
              <w:t>Отсутствие материально-технической базы, в том числе техники для ремонта автомобильных дорог.</w:t>
            </w:r>
          </w:p>
        </w:tc>
      </w:tr>
      <w:tr>
        <w:trPr/>
        <w:tc>
          <w:tcPr>
            <w:tcW w:w="815" w:type="dxa"/>
            <w:vMerge w:val="continue"/>
            <w:tcBorders/>
            <w:shd w:fill="auto" w:val="clear"/>
          </w:tcPr>
          <w:p>
            <w:pPr>
              <w:pStyle w:val="ListParagraph"/>
              <w:spacing w:lineRule="auto" w:line="240" w:before="0" w:after="0"/>
              <w:ind w:left="0" w:hanging="0"/>
              <w:contextualSpacing/>
              <w:jc w:val="center"/>
              <w:rPr>
                <w:rFonts w:cs="Times New Roman"/>
                <w:b/>
                <w:b/>
              </w:rPr>
            </w:pPr>
            <w:r>
              <w:rPr>
                <w:rFonts w:cs="Times New Roman"/>
                <w:b/>
              </w:rPr>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40" w:before="0" w:after="0"/>
              <w:ind w:left="0" w:hanging="0"/>
              <w:contextualSpacing/>
              <w:rPr>
                <w:rFonts w:cs="Times New Roman"/>
              </w:rPr>
            </w:pPr>
            <w:r>
              <w:rPr>
                <w:rFonts w:cs="Times New Roman"/>
              </w:rPr>
            </w:r>
          </w:p>
        </w:tc>
        <w:tc>
          <w:tcPr>
            <w:tcW w:w="4395" w:type="dxa"/>
            <w:tcBorders/>
            <w:shd w:fill="auto" w:val="clear"/>
          </w:tcPr>
          <w:p>
            <w:pPr>
              <w:pStyle w:val="ListParagraph"/>
              <w:numPr>
                <w:ilvl w:val="0"/>
                <w:numId w:val="3"/>
              </w:numPr>
              <w:suppressAutoHyphens w:val="false"/>
              <w:spacing w:lineRule="auto" w:line="240" w:before="0" w:after="0"/>
              <w:ind w:left="317" w:hanging="283"/>
              <w:contextualSpacing/>
              <w:jc w:val="both"/>
              <w:rPr>
                <w:rFonts w:eastAsia="Calibri" w:cs="Times New Roman"/>
              </w:rPr>
            </w:pPr>
            <w:r>
              <w:rPr>
                <w:rFonts w:eastAsia="Calibri" w:cs="Times New Roman"/>
              </w:rPr>
              <w:t>Ремонт автомобильных дорог с твёрдым покрытием в соответствии с федеральными стандартами.</w:t>
            </w:r>
          </w:p>
          <w:p>
            <w:pPr>
              <w:pStyle w:val="ListParagraph"/>
              <w:numPr>
                <w:ilvl w:val="0"/>
                <w:numId w:val="3"/>
              </w:numPr>
              <w:suppressAutoHyphens w:val="false"/>
              <w:spacing w:lineRule="auto" w:line="240" w:before="0" w:after="0"/>
              <w:ind w:left="317" w:hanging="283"/>
              <w:contextualSpacing/>
              <w:jc w:val="both"/>
              <w:rPr>
                <w:rFonts w:eastAsia="Calibri" w:cs="Times New Roman"/>
              </w:rPr>
            </w:pPr>
            <w:r>
              <w:rPr>
                <w:rFonts w:eastAsia="Calibri" w:cs="Times New Roman"/>
              </w:rPr>
              <w:t>Реализация мероприятий, направленных на снижение аварийности и травматичности на дорогах, расположенных на территории муниципального образования.</w:t>
            </w:r>
          </w:p>
          <w:p>
            <w:pPr>
              <w:pStyle w:val="ListParagraph"/>
              <w:numPr>
                <w:ilvl w:val="0"/>
                <w:numId w:val="3"/>
              </w:numPr>
              <w:suppressAutoHyphens w:val="false"/>
              <w:spacing w:lineRule="auto" w:line="240" w:before="0" w:after="0"/>
              <w:ind w:left="317" w:hanging="283"/>
              <w:contextualSpacing/>
              <w:jc w:val="both"/>
              <w:rPr>
                <w:rFonts w:eastAsia="Calibri" w:cs="Times New Roman"/>
              </w:rPr>
            </w:pPr>
            <w:r>
              <w:rPr>
                <w:rFonts w:eastAsia="Calibri" w:cs="Times New Roman"/>
              </w:rPr>
              <w:t>Развитие транспортной придорожной инфраструктуры в соответствии с федеральными стандартами (остановочные павильоны, дорожные знаки и указатели).</w:t>
            </w:r>
          </w:p>
        </w:tc>
        <w:tc>
          <w:tcPr>
            <w:tcW w:w="4396" w:type="dxa"/>
            <w:tcBorders/>
            <w:shd w:fill="auto" w:val="clear"/>
          </w:tcPr>
          <w:p>
            <w:pPr>
              <w:pStyle w:val="ListParagraph"/>
              <w:numPr>
                <w:ilvl w:val="0"/>
                <w:numId w:val="4"/>
              </w:numPr>
              <w:suppressAutoHyphens w:val="false"/>
              <w:spacing w:lineRule="auto" w:line="240" w:before="0" w:after="0"/>
              <w:ind w:left="318" w:hanging="284"/>
              <w:contextualSpacing/>
              <w:jc w:val="both"/>
              <w:rPr>
                <w:rFonts w:eastAsia="Calibri" w:cs="Times New Roman"/>
              </w:rPr>
            </w:pPr>
            <w:r>
              <w:rPr>
                <w:rFonts w:eastAsia="Calibri" w:cs="Times New Roman"/>
              </w:rPr>
              <w:t>Нестабильность экономической обстановки;</w:t>
            </w:r>
          </w:p>
          <w:p>
            <w:pPr>
              <w:pStyle w:val="ListParagraph"/>
              <w:numPr>
                <w:ilvl w:val="0"/>
                <w:numId w:val="4"/>
              </w:numPr>
              <w:suppressAutoHyphens w:val="false"/>
              <w:spacing w:lineRule="auto" w:line="240" w:before="0" w:after="0"/>
              <w:ind w:left="318" w:hanging="284"/>
              <w:contextualSpacing/>
              <w:jc w:val="both"/>
              <w:rPr>
                <w:rFonts w:cs="Times New Roman"/>
              </w:rPr>
            </w:pPr>
            <w:r>
              <w:rPr>
                <w:rFonts w:eastAsia="Calibri" w:cs="Times New Roman"/>
              </w:rPr>
              <w:t>Недостаточное финансирование.</w:t>
            </w:r>
          </w:p>
        </w:tc>
      </w:tr>
      <w:tr>
        <w:trPr/>
        <w:tc>
          <w:tcPr>
            <w:tcW w:w="9606" w:type="dxa"/>
            <w:gridSpan w:val="3"/>
            <w:tcBorders/>
            <w:shd w:color="auto" w:fill="618096" w:themeFill="accent4" w:themeFillShade="bf" w:val="clear"/>
          </w:tcPr>
          <w:p>
            <w:pPr>
              <w:pStyle w:val="Normal"/>
              <w:spacing w:lineRule="auto" w:line="240" w:before="0" w:after="0"/>
              <w:rPr>
                <w:rFonts w:eastAsia="Calibri" w:cs="Times New Roman"/>
              </w:rPr>
            </w:pPr>
            <w:r>
              <w:rPr>
                <w:rFonts w:eastAsia="Calibri" w:cs="Times New Roman"/>
              </w:rPr>
            </w:r>
          </w:p>
        </w:tc>
      </w:tr>
      <w:tr>
        <w:trPr/>
        <w:tc>
          <w:tcPr>
            <w:tcW w:w="815"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rPr>
            </w:pPr>
            <w:r>
              <w:rPr>
                <w:rFonts w:cs="Times New Roman"/>
                <w:i/>
              </w:rPr>
              <w:t>Связь</w:t>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5"/>
              </w:numPr>
              <w:suppressAutoHyphens w:val="false"/>
              <w:spacing w:lineRule="auto" w:line="240" w:before="0" w:after="0"/>
              <w:contextualSpacing/>
              <w:jc w:val="both"/>
              <w:rPr>
                <w:rFonts w:cs="Times New Roman"/>
              </w:rPr>
            </w:pPr>
            <w:r>
              <w:rPr>
                <w:rFonts w:cs="Times New Roman"/>
              </w:rPr>
              <w:t>Достаточно развитий спектр оказы</w:t>
              <w:softHyphen/>
              <w:t>ваемых современных услуг связи: почтовая связь, стационарная и мобильная телефонная связь, широкополосный доступ в информационно-телекоммуникационную сеть «Интернет», спутниковая связь, цифровое телевидение.</w:t>
            </w:r>
          </w:p>
        </w:tc>
        <w:tc>
          <w:tcPr>
            <w:tcW w:w="4396" w:type="dxa"/>
            <w:tcBorders/>
            <w:shd w:fill="auto" w:val="clear"/>
          </w:tcPr>
          <w:p>
            <w:pPr>
              <w:pStyle w:val="ListParagraph"/>
              <w:numPr>
                <w:ilvl w:val="0"/>
                <w:numId w:val="5"/>
              </w:numPr>
              <w:suppressAutoHyphens w:val="false"/>
              <w:spacing w:lineRule="auto" w:line="240" w:before="0" w:after="0"/>
              <w:contextualSpacing/>
              <w:jc w:val="both"/>
              <w:rPr>
                <w:rFonts w:cs="Times New Roman"/>
              </w:rPr>
            </w:pPr>
            <w:r>
              <w:rPr>
                <w:rFonts w:cs="Times New Roman"/>
              </w:rPr>
              <w:t>Сложный рельеф местности южной и южно-восточной части района, затрудняющий покрытие мобильной сети, информационно-телеком</w:t>
              <w:softHyphen/>
              <w:t>муникационной сети «Интернет» и трансляцию цифрового телевидения.</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5"/>
              </w:numPr>
              <w:suppressAutoHyphens w:val="false"/>
              <w:spacing w:lineRule="auto" w:line="240" w:before="0" w:after="0"/>
              <w:ind w:left="317" w:hanging="283"/>
              <w:contextualSpacing/>
              <w:jc w:val="both"/>
              <w:rPr>
                <w:rFonts w:cs="Times New Roman"/>
              </w:rPr>
            </w:pPr>
            <w:r>
              <w:rPr>
                <w:rFonts w:cs="Times New Roman"/>
              </w:rPr>
              <w:t>Повышение спроса на услуги связи.</w:t>
            </w:r>
          </w:p>
          <w:p>
            <w:pPr>
              <w:pStyle w:val="ListParagraph"/>
              <w:numPr>
                <w:ilvl w:val="0"/>
                <w:numId w:val="5"/>
              </w:numPr>
              <w:suppressAutoHyphens w:val="false"/>
              <w:spacing w:lineRule="auto" w:line="240" w:before="0" w:after="0"/>
              <w:ind w:left="317" w:hanging="283"/>
              <w:contextualSpacing/>
              <w:jc w:val="both"/>
              <w:rPr>
                <w:rFonts w:cs="Times New Roman"/>
              </w:rPr>
            </w:pPr>
            <w:r>
              <w:rPr>
                <w:rFonts w:cs="Times New Roman"/>
              </w:rPr>
              <w:t>Участие в Федеральной программе «Информационная инфраструктура» национального проекта «Цифровая экономика», проекта «Устранение цифрового неравенства».</w:t>
            </w:r>
          </w:p>
        </w:tc>
        <w:tc>
          <w:tcPr>
            <w:tcW w:w="4396" w:type="dxa"/>
            <w:tcBorders/>
            <w:shd w:fill="auto" w:val="clear"/>
          </w:tcPr>
          <w:p>
            <w:pPr>
              <w:pStyle w:val="ListParagraph"/>
              <w:numPr>
                <w:ilvl w:val="0"/>
                <w:numId w:val="5"/>
              </w:numPr>
              <w:suppressAutoHyphens w:val="false"/>
              <w:spacing w:lineRule="auto" w:line="240" w:before="0" w:after="0"/>
              <w:contextualSpacing/>
              <w:jc w:val="both"/>
              <w:rPr>
                <w:rFonts w:cs="Times New Roman"/>
              </w:rPr>
            </w:pPr>
            <w:r>
              <w:rPr>
                <w:rFonts w:cs="Times New Roman"/>
              </w:rPr>
              <w:t>Снижение числа потенциальных потребителей услуг связи.</w:t>
            </w:r>
          </w:p>
          <w:p>
            <w:pPr>
              <w:pStyle w:val="ListParagraph"/>
              <w:numPr>
                <w:ilvl w:val="0"/>
                <w:numId w:val="5"/>
              </w:numPr>
              <w:suppressAutoHyphens w:val="false"/>
              <w:spacing w:lineRule="auto" w:line="240" w:before="0" w:after="0"/>
              <w:contextualSpacing/>
              <w:jc w:val="both"/>
              <w:rPr>
                <w:rFonts w:cs="Times New Roman"/>
              </w:rPr>
            </w:pPr>
            <w:r>
              <w:rPr>
                <w:rFonts w:cs="Times New Roman"/>
              </w:rPr>
              <w:t>Нестабильна политическая ситуа</w:t>
              <w:softHyphen/>
              <w:t>ция.</w:t>
            </w:r>
          </w:p>
          <w:p>
            <w:pPr>
              <w:pStyle w:val="ListParagraph"/>
              <w:numPr>
                <w:ilvl w:val="0"/>
                <w:numId w:val="5"/>
              </w:numPr>
              <w:suppressAutoHyphens w:val="false"/>
              <w:spacing w:lineRule="auto" w:line="240" w:before="0" w:after="0"/>
              <w:contextualSpacing/>
              <w:jc w:val="both"/>
              <w:rPr>
                <w:rFonts w:cs="Times New Roman"/>
              </w:rPr>
            </w:pPr>
            <w:r>
              <w:rPr>
                <w:rFonts w:cs="Times New Roman"/>
              </w:rPr>
              <w:t>Нестабильна экономическая ситу</w:t>
              <w:softHyphen/>
              <w:t>ация.</w:t>
            </w:r>
          </w:p>
        </w:tc>
      </w:tr>
      <w:tr>
        <w:trPr/>
        <w:tc>
          <w:tcPr>
            <w:tcW w:w="9606" w:type="dxa"/>
            <w:gridSpan w:val="3"/>
            <w:tcBorders/>
            <w:shd w:color="auto" w:fill="618096" w:themeFill="accent4" w:themeFillShade="bf" w:val="clear"/>
          </w:tcPr>
          <w:p>
            <w:pPr>
              <w:pStyle w:val="Normal"/>
              <w:spacing w:lineRule="auto" w:line="240" w:before="0" w:after="0"/>
              <w:jc w:val="both"/>
              <w:rPr>
                <w:rFonts w:cs="Times New Roman"/>
              </w:rPr>
            </w:pPr>
            <w:r>
              <w:rPr>
                <w:rFonts w:cs="Times New Roman"/>
              </w:rPr>
            </w:r>
          </w:p>
        </w:tc>
      </w:tr>
      <w:tr>
        <w:trPr/>
        <w:tc>
          <w:tcPr>
            <w:tcW w:w="815"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i/>
                <w:i/>
              </w:rPr>
            </w:pPr>
            <w:r>
              <w:rPr>
                <w:rFonts w:cs="Times New Roman"/>
                <w:i/>
              </w:rPr>
              <w:t>Жилищно-коммунальный комплекс</w:t>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Низкий уровень выбросов загрязняющих веществ.</w:t>
            </w:r>
          </w:p>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Высокое качество воды.</w:t>
            </w:r>
          </w:p>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Наличие развитой инфраструктуры и широкого выбора предоставляемых жилищно-коммунальных услуг</w:t>
            </w:r>
          </w:p>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Налаженная система обратной связи с населением.</w:t>
            </w:r>
          </w:p>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Государственная поддержка финансирования проектов по совершенствованию жилищно-коммунального хозяйства.</w:t>
            </w:r>
          </w:p>
        </w:tc>
        <w:tc>
          <w:tcPr>
            <w:tcW w:w="4396" w:type="dxa"/>
            <w:tcBorders/>
            <w:shd w:fill="auto" w:val="clear"/>
          </w:tcPr>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Высокая степень физического и морального износа жилищного фонда и объектов коммунальной инфраструктуры.</w:t>
            </w:r>
          </w:p>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Недостаточная энергоэффективность и культура энергосбережения по сравнению с мировыми стандартами.</w:t>
            </w:r>
          </w:p>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Слабое использование возможностей малой (локальной) энергетики и альтернативных источников энергии.</w:t>
            </w:r>
          </w:p>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Низкая ответственность и активность населения и бизнеса в решении вопросов ЖКХ.</w:t>
            </w:r>
          </w:p>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Недостаточная практика частно-муниципального партнёрства.</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Участие в Национальных проектах «Образование» (в части развития инфраструктуры системы образования), «Жильё и городская среда» и «Экология»</w:t>
            </w:r>
          </w:p>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Вхождение в партийный проект «Чистая страна» (в части разработки и продвижения законодательных инициатив повышения уровня экологизации территории).</w:t>
            </w:r>
          </w:p>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Расширение спектра и повышение качества предоставляемых жилищно-коммунальных услуг.</w:t>
            </w:r>
          </w:p>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Привлечение дополнительного инвестирования предприятий в области предоставления жилищно-коммунальных услуг.</w:t>
            </w:r>
          </w:p>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Внедрение и широкое использование ресурсосберегающих технологий и оборудования.</w:t>
            </w:r>
          </w:p>
        </w:tc>
        <w:tc>
          <w:tcPr>
            <w:tcW w:w="4396" w:type="dxa"/>
            <w:tcBorders/>
            <w:shd w:fill="auto" w:val="clear"/>
          </w:tcPr>
          <w:p>
            <w:pPr>
              <w:pStyle w:val="ListParagraph"/>
              <w:numPr>
                <w:ilvl w:val="0"/>
                <w:numId w:val="12"/>
              </w:numPr>
              <w:suppressAutoHyphens w:val="false"/>
              <w:spacing w:lineRule="auto" w:line="228" w:before="0" w:after="0"/>
              <w:ind w:left="318" w:hanging="318"/>
              <w:contextualSpacing/>
              <w:rPr>
                <w:rFonts w:cs="Times New Roman"/>
              </w:rPr>
            </w:pPr>
            <w:r>
              <w:rPr>
                <w:rFonts w:cs="Times New Roman"/>
              </w:rPr>
              <w:t>Снижение возможностей бюджетной системы.</w:t>
            </w:r>
          </w:p>
          <w:p>
            <w:pPr>
              <w:pStyle w:val="ListParagraph"/>
              <w:numPr>
                <w:ilvl w:val="0"/>
                <w:numId w:val="12"/>
              </w:numPr>
              <w:suppressAutoHyphens w:val="false"/>
              <w:spacing w:lineRule="auto" w:line="228" w:before="0" w:after="0"/>
              <w:ind w:left="318" w:hanging="318"/>
              <w:contextualSpacing/>
              <w:rPr>
                <w:rFonts w:cs="Times New Roman"/>
              </w:rPr>
            </w:pPr>
            <w:r>
              <w:rPr>
                <w:rFonts w:cs="Times New Roman"/>
              </w:rPr>
              <w:t>Проблемы и нестабильность в работе поставщиков жилищно-коммунальных услуг, подрядных организаций.</w:t>
            </w:r>
          </w:p>
          <w:p>
            <w:pPr>
              <w:pStyle w:val="ListParagraph"/>
              <w:numPr>
                <w:ilvl w:val="0"/>
                <w:numId w:val="12"/>
              </w:numPr>
              <w:suppressAutoHyphens w:val="false"/>
              <w:spacing w:lineRule="auto" w:line="228" w:before="0" w:after="0"/>
              <w:ind w:left="318" w:hanging="318"/>
              <w:contextualSpacing/>
              <w:rPr>
                <w:rFonts w:cs="Times New Roman"/>
              </w:rPr>
            </w:pPr>
            <w:r>
              <w:rPr>
                <w:rFonts w:cs="Times New Roman"/>
              </w:rPr>
              <w:t>Несвоевременное поступление финансовых средств от населения за предоставленные жилищно-коммунальные услуги.</w:t>
            </w:r>
          </w:p>
          <w:p>
            <w:pPr>
              <w:pStyle w:val="ListParagraph"/>
              <w:numPr>
                <w:ilvl w:val="0"/>
                <w:numId w:val="12"/>
              </w:numPr>
              <w:suppressAutoHyphens w:val="false"/>
              <w:spacing w:lineRule="auto" w:line="228" w:before="0" w:after="0"/>
              <w:ind w:left="318" w:hanging="318"/>
              <w:contextualSpacing/>
              <w:rPr>
                <w:rFonts w:cs="Times New Roman"/>
              </w:rPr>
            </w:pPr>
            <w:r>
              <w:rPr>
                <w:rFonts w:cs="Times New Roman"/>
              </w:rPr>
              <w:t>Неэффективная политика ресурсосбережения.</w:t>
            </w:r>
          </w:p>
        </w:tc>
      </w:tr>
      <w:tr>
        <w:trPr>
          <w:trHeight w:val="283" w:hRule="atLeast"/>
        </w:trPr>
        <w:tc>
          <w:tcPr>
            <w:tcW w:w="9606" w:type="dxa"/>
            <w:gridSpan w:val="3"/>
            <w:tcBorders/>
            <w:shd w:color="auto" w:fill="618096" w:themeFill="accent4" w:themeFillShade="bf" w:val="clear"/>
          </w:tcPr>
          <w:p>
            <w:pPr>
              <w:pStyle w:val="ListParagraph"/>
              <w:spacing w:lineRule="auto" w:line="228" w:before="0" w:after="0"/>
              <w:ind w:left="0" w:hanging="0"/>
              <w:contextualSpacing/>
              <w:jc w:val="center"/>
              <w:rPr>
                <w:rFonts w:cs="Times New Roman"/>
                <w:b/>
                <w:b/>
                <w:color w:val="FFFFFF" w:themeColor="background1"/>
              </w:rPr>
            </w:pPr>
            <w:r>
              <w:rPr>
                <w:rFonts w:cs="Times New Roman"/>
                <w:b/>
                <w:color w:val="FFFFFF" w:themeColor="background1"/>
              </w:rPr>
            </w:r>
          </w:p>
        </w:tc>
      </w:tr>
      <w:tr>
        <w:trPr/>
        <w:tc>
          <w:tcPr>
            <w:tcW w:w="815"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b/>
                <w:b/>
                <w:i/>
                <w:i/>
                <w:color w:val="FFFFFF" w:themeColor="background1"/>
              </w:rPr>
            </w:pPr>
            <w:r>
              <w:rPr>
                <w:rFonts w:cs="Times New Roman"/>
                <w:i/>
              </w:rPr>
              <w:t>Безопасность</w:t>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extDirection w:val="btLr"/>
          </w:tcPr>
          <w:p>
            <w:pPr>
              <w:pStyle w:val="ListParagraph"/>
              <w:spacing w:lineRule="auto" w:line="240" w:before="0" w:after="0"/>
              <w:ind w:left="113" w:right="113" w:hanging="0"/>
              <w:contextualSpacing/>
              <w:jc w:val="both"/>
              <w:rPr>
                <w:rFonts w:cs="Times New Roman"/>
                <w:i/>
                <w:i/>
              </w:rPr>
            </w:pPr>
            <w:r>
              <w:rPr>
                <w:rFonts w:cs="Times New Roman"/>
                <w:i/>
              </w:rPr>
            </w:r>
          </w:p>
        </w:tc>
        <w:tc>
          <w:tcPr>
            <w:tcW w:w="4395" w:type="dxa"/>
            <w:tcBorders/>
            <w:shd w:fill="auto" w:val="clear"/>
          </w:tcPr>
          <w:p>
            <w:pPr>
              <w:pStyle w:val="ListParagraph"/>
              <w:numPr>
                <w:ilvl w:val="0"/>
                <w:numId w:val="6"/>
              </w:numPr>
              <w:suppressAutoHyphens w:val="false"/>
              <w:spacing w:lineRule="auto" w:line="228" w:before="0" w:after="0"/>
              <w:ind w:left="317" w:hanging="284"/>
              <w:contextualSpacing/>
              <w:rPr>
                <w:rFonts w:cs="Times New Roman"/>
              </w:rPr>
            </w:pPr>
            <w:r>
              <w:rPr>
                <w:rFonts w:cs="Times New Roman"/>
              </w:rPr>
              <w:t>Высокий уровень раскрываемости преступлений.</w:t>
            </w:r>
          </w:p>
          <w:p>
            <w:pPr>
              <w:pStyle w:val="ListParagraph"/>
              <w:numPr>
                <w:ilvl w:val="0"/>
                <w:numId w:val="6"/>
              </w:numPr>
              <w:suppressAutoHyphens w:val="false"/>
              <w:spacing w:lineRule="auto" w:line="228" w:before="0" w:after="0"/>
              <w:ind w:left="317" w:hanging="284"/>
              <w:contextualSpacing/>
              <w:rPr>
                <w:rFonts w:cs="Times New Roman"/>
              </w:rPr>
            </w:pPr>
            <w:r>
              <w:rPr>
                <w:rFonts w:cs="Times New Roman"/>
              </w:rPr>
              <w:t>Благоприятная экологическая обстановка</w:t>
            </w:r>
          </w:p>
        </w:tc>
        <w:tc>
          <w:tcPr>
            <w:tcW w:w="4396" w:type="dxa"/>
            <w:tcBorders/>
            <w:shd w:fill="auto" w:val="clear"/>
          </w:tcPr>
          <w:p>
            <w:pPr>
              <w:pStyle w:val="ListParagraph"/>
              <w:numPr>
                <w:ilvl w:val="0"/>
                <w:numId w:val="6"/>
              </w:numPr>
              <w:suppressAutoHyphens w:val="false"/>
              <w:spacing w:lineRule="auto" w:line="228" w:before="0" w:after="0"/>
              <w:ind w:left="318" w:hanging="284"/>
              <w:contextualSpacing/>
              <w:rPr>
                <w:rFonts w:cs="Times New Roman"/>
                <w:spacing w:val="-4"/>
              </w:rPr>
            </w:pPr>
            <w:r>
              <w:rPr>
                <w:rFonts w:cs="Times New Roman"/>
                <w:spacing w:val="-4"/>
              </w:rPr>
              <w:t>Слабая транспортная инфраструктура.</w:t>
            </w:r>
          </w:p>
          <w:p>
            <w:pPr>
              <w:pStyle w:val="ListParagraph"/>
              <w:numPr>
                <w:ilvl w:val="0"/>
                <w:numId w:val="6"/>
              </w:numPr>
              <w:suppressAutoHyphens w:val="false"/>
              <w:spacing w:lineRule="auto" w:line="228" w:before="0" w:after="0"/>
              <w:ind w:left="318" w:hanging="284"/>
              <w:contextualSpacing/>
              <w:rPr>
                <w:rFonts w:cs="Times New Roman"/>
              </w:rPr>
            </w:pPr>
            <w:r>
              <w:rPr>
                <w:rFonts w:cs="Times New Roman"/>
              </w:rPr>
              <w:t>Высокий уровень преступности.</w:t>
            </w:r>
          </w:p>
          <w:p>
            <w:pPr>
              <w:pStyle w:val="ListParagraph"/>
              <w:numPr>
                <w:ilvl w:val="0"/>
                <w:numId w:val="6"/>
              </w:numPr>
              <w:suppressAutoHyphens w:val="false"/>
              <w:spacing w:lineRule="auto" w:line="228" w:before="0" w:after="0"/>
              <w:ind w:left="318" w:hanging="284"/>
              <w:contextualSpacing/>
              <w:rPr>
                <w:rFonts w:cs="Times New Roman"/>
              </w:rPr>
            </w:pPr>
            <w:r>
              <w:rPr>
                <w:rFonts w:cs="Times New Roman"/>
              </w:rPr>
              <w:t>Распространённость болезней патологической зависимости.</w:t>
            </w:r>
          </w:p>
          <w:p>
            <w:pPr>
              <w:pStyle w:val="ListParagraph"/>
              <w:numPr>
                <w:ilvl w:val="0"/>
                <w:numId w:val="6"/>
              </w:numPr>
              <w:suppressAutoHyphens w:val="false"/>
              <w:spacing w:lineRule="auto" w:line="228" w:before="0" w:after="0"/>
              <w:ind w:left="318" w:hanging="284"/>
              <w:contextualSpacing/>
              <w:rPr>
                <w:rFonts w:cs="Times New Roman"/>
              </w:rPr>
            </w:pPr>
            <w:r>
              <w:rPr>
                <w:rFonts w:cs="Times New Roman"/>
              </w:rPr>
              <w:t>Недофинансирование мероприятий, направленных на охрану окружающей среды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b/>
                <w:b/>
              </w:rPr>
            </w:pPr>
            <w:r>
              <w:rPr>
                <w:rFonts w:cs="Times New Roman"/>
                <w:b/>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b/>
                <w:b/>
              </w:rPr>
            </w:pPr>
            <w:r>
              <w:rPr>
                <w:rFonts w:cs="Times New Roman"/>
                <w:b/>
              </w:rPr>
            </w:r>
          </w:p>
        </w:tc>
        <w:tc>
          <w:tcPr>
            <w:tcW w:w="4395" w:type="dxa"/>
            <w:tcBorders/>
            <w:shd w:fill="auto" w:val="clear"/>
          </w:tcPr>
          <w:p>
            <w:pPr>
              <w:pStyle w:val="ListParagraph"/>
              <w:numPr>
                <w:ilvl w:val="0"/>
                <w:numId w:val="7"/>
              </w:numPr>
              <w:suppressAutoHyphens w:val="false"/>
              <w:spacing w:lineRule="auto" w:line="228" w:before="0" w:after="0"/>
              <w:ind w:left="317" w:hanging="284"/>
              <w:contextualSpacing/>
              <w:rPr>
                <w:rFonts w:cs="Times New Roman"/>
                <w:spacing w:val="-2"/>
              </w:rPr>
            </w:pPr>
            <w:r>
              <w:rPr>
                <w:rFonts w:cs="Times New Roman"/>
                <w:spacing w:val="-2"/>
              </w:rPr>
              <w:t>Вовлечение населения в деятельность по охране общественного порядка и противопожарной безопасности.</w:t>
            </w:r>
          </w:p>
          <w:p>
            <w:pPr>
              <w:pStyle w:val="ListParagraph"/>
              <w:numPr>
                <w:ilvl w:val="0"/>
                <w:numId w:val="7"/>
              </w:numPr>
              <w:suppressAutoHyphens w:val="false"/>
              <w:spacing w:lineRule="auto" w:line="228" w:before="0" w:after="0"/>
              <w:ind w:left="317" w:hanging="284"/>
              <w:contextualSpacing/>
              <w:rPr>
                <w:rFonts w:cs="Times New Roman"/>
              </w:rPr>
            </w:pPr>
            <w:r>
              <w:rPr>
                <w:rFonts w:cs="Times New Roman"/>
              </w:rPr>
              <w:t>Установка очистных сооружений.</w:t>
            </w:r>
          </w:p>
          <w:p>
            <w:pPr>
              <w:pStyle w:val="ListParagraph"/>
              <w:numPr>
                <w:ilvl w:val="0"/>
                <w:numId w:val="7"/>
              </w:numPr>
              <w:suppressAutoHyphens w:val="false"/>
              <w:spacing w:lineRule="auto" w:line="228" w:before="0" w:after="0"/>
              <w:ind w:left="317" w:hanging="284"/>
              <w:contextualSpacing/>
              <w:rPr>
                <w:rFonts w:cs="Times New Roman"/>
              </w:rPr>
            </w:pPr>
            <w:r>
              <w:rPr>
                <w:rFonts w:cs="Times New Roman"/>
              </w:rPr>
              <w:t>Внедрение новых «зелёных» технологий, позволяющих сокращать количество выбросов, отходов производства.</w:t>
            </w:r>
          </w:p>
        </w:tc>
        <w:tc>
          <w:tcPr>
            <w:tcW w:w="4396" w:type="dxa"/>
            <w:tcBorders/>
            <w:shd w:fill="auto" w:val="clear"/>
          </w:tcPr>
          <w:p>
            <w:pPr>
              <w:pStyle w:val="ListParagraph"/>
              <w:numPr>
                <w:ilvl w:val="0"/>
                <w:numId w:val="7"/>
              </w:numPr>
              <w:suppressAutoHyphens w:val="false"/>
              <w:spacing w:lineRule="auto" w:line="228" w:before="0" w:after="0"/>
              <w:ind w:left="318" w:hanging="284"/>
              <w:contextualSpacing/>
              <w:rPr>
                <w:rFonts w:cs="Times New Roman"/>
              </w:rPr>
            </w:pPr>
            <w:r>
              <w:rPr>
                <w:rFonts w:cs="Times New Roman"/>
              </w:rPr>
              <w:t>Рост цен на услуги и товары.</w:t>
            </w:r>
          </w:p>
          <w:p>
            <w:pPr>
              <w:pStyle w:val="ListParagraph"/>
              <w:numPr>
                <w:ilvl w:val="0"/>
                <w:numId w:val="7"/>
              </w:numPr>
              <w:suppressAutoHyphens w:val="false"/>
              <w:spacing w:lineRule="auto" w:line="228" w:before="0" w:after="0"/>
              <w:ind w:left="318" w:hanging="284"/>
              <w:contextualSpacing/>
              <w:rPr>
                <w:rFonts w:cs="Times New Roman"/>
              </w:rPr>
            </w:pPr>
            <w:r>
              <w:rPr>
                <w:rFonts w:cs="Times New Roman"/>
              </w:rPr>
              <w:t>Снижения уровня жизни и покупательской способности.</w:t>
            </w:r>
          </w:p>
          <w:p>
            <w:pPr>
              <w:pStyle w:val="ListParagraph"/>
              <w:numPr>
                <w:ilvl w:val="0"/>
                <w:numId w:val="7"/>
              </w:numPr>
              <w:suppressAutoHyphens w:val="false"/>
              <w:spacing w:lineRule="auto" w:line="228" w:before="0" w:after="0"/>
              <w:ind w:left="318" w:hanging="284"/>
              <w:contextualSpacing/>
              <w:rPr>
                <w:rFonts w:cs="Times New Roman"/>
              </w:rPr>
            </w:pPr>
            <w:r>
              <w:rPr>
                <w:rFonts w:cs="Times New Roman"/>
              </w:rPr>
              <w:t>Ухудшение климатических условий.</w:t>
            </w:r>
          </w:p>
          <w:p>
            <w:pPr>
              <w:pStyle w:val="ListParagraph"/>
              <w:numPr>
                <w:ilvl w:val="0"/>
                <w:numId w:val="7"/>
              </w:numPr>
              <w:suppressAutoHyphens w:val="false"/>
              <w:spacing w:lineRule="auto" w:line="228" w:before="0" w:after="0"/>
              <w:ind w:left="318" w:hanging="284"/>
              <w:contextualSpacing/>
              <w:rPr>
                <w:rFonts w:cs="Times New Roman"/>
              </w:rPr>
            </w:pPr>
            <w:r>
              <w:rPr>
                <w:rFonts w:cs="Times New Roman"/>
              </w:rPr>
              <w:t>Усугубление экологической обстановки ввиду отсутствия очистных сооружений</w:t>
            </w:r>
          </w:p>
        </w:tc>
      </w:tr>
    </w:tbl>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sz w:val="28"/>
          <w:szCs w:val="28"/>
        </w:rPr>
      </w:pPr>
      <w:r>
        <w:rPr>
          <w:rFonts w:eastAsia="Calibri" w:cs="Times New Roman"/>
          <w:b/>
          <w:sz w:val="28"/>
          <w:szCs w:val="28"/>
        </w:rPr>
        <w:t>Стратегическая цель</w:t>
      </w:r>
      <w:r>
        <w:rPr>
          <w:rFonts w:eastAsia="Calibri" w:cs="Times New Roman"/>
          <w:sz w:val="28"/>
          <w:szCs w:val="28"/>
        </w:rPr>
        <w:t xml:space="preserve"> – создание комфортных условий для жизни населения и развития межмуниципального взаимодействия. </w:t>
      </w:r>
    </w:p>
    <w:p>
      <w:pPr>
        <w:pStyle w:val="Normal"/>
        <w:spacing w:before="0" w:after="0"/>
        <w:ind w:firstLine="709"/>
        <w:contextualSpacing/>
        <w:jc w:val="both"/>
        <w:rPr>
          <w:rFonts w:eastAsia="Calibri" w:cs="Times New Roman"/>
          <w:b/>
          <w:b/>
          <w:sz w:val="28"/>
          <w:szCs w:val="28"/>
          <w:u w:val="single"/>
        </w:rPr>
      </w:pPr>
      <w:r>
        <w:rPr>
          <w:rFonts w:eastAsia="Calibri" w:cs="Times New Roman"/>
          <w:b/>
          <w:sz w:val="28"/>
          <w:szCs w:val="28"/>
          <w:u w:val="single"/>
        </w:rPr>
        <w:t>Приоритеты развития инфраструктуры жизнеобеспечения: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развитие инфраструктуры транспорта;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повышение качества и доступности услуг связи;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обеспечение бесперебойной работы жилищно-коммунального комплекса;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обеспечение безопасности жизнедеятельности, в том числе экологической.</w:t>
      </w:r>
    </w:p>
    <w:p>
      <w:pPr>
        <w:pStyle w:val="ListParagraph"/>
        <w:ind w:left="0" w:hanging="0"/>
        <w:rPr>
          <w:rFonts w:cs="Times New Roman"/>
          <w:b/>
          <w:b/>
          <w:sz w:val="28"/>
          <w:szCs w:val="28"/>
        </w:rPr>
      </w:pPr>
      <w:r>
        <w:rPr>
          <w:rFonts w:cs="Times New Roman"/>
          <w:b/>
          <w:sz w:val="28"/>
          <w:szCs w:val="28"/>
        </w:rPr>
      </w:r>
    </w:p>
    <w:p>
      <w:pPr>
        <w:pStyle w:val="Normal"/>
        <w:rPr/>
      </w:pPr>
      <w:bookmarkStart w:id="61" w:name="_Toc4405026"/>
      <w:r>
        <w:rPr/>
        <w:t>2.3.1. Развитие инфраструктуры транспорта</w:t>
      </w:r>
      <w:bookmarkEnd w:id="61"/>
      <w:r>
        <w:rPr/>
        <w:t xml:space="preserve"> </w:t>
      </w:r>
    </w:p>
    <w:p>
      <w:pPr>
        <w:pStyle w:val="Normal"/>
        <w:ind w:firstLine="709"/>
        <w:jc w:val="both"/>
        <w:rPr>
          <w:rFonts w:eastAsia="Calibri" w:cs="Times New Roman"/>
          <w:sz w:val="28"/>
          <w:szCs w:val="28"/>
        </w:rPr>
      </w:pPr>
      <w:r>
        <w:rPr>
          <w:rFonts w:eastAsia="Calibri" w:cs="Times New Roman"/>
          <w:sz w:val="28"/>
          <w:szCs w:val="28"/>
        </w:rPr>
        <w:t xml:space="preserve">Развитие транспортной инфраструктуры является одним из ключевых приоритетов экономики МО «Тереньгульский район». Мероприятия по указанному направлению реализуются в рамках национального проекта «Безопасные и качественные автомобильные дороги», рассчитанного на период 2018 – 2024 гг. </w:t>
      </w:r>
    </w:p>
    <w:p>
      <w:pPr>
        <w:pStyle w:val="Normal"/>
        <w:ind w:firstLine="709"/>
        <w:jc w:val="both"/>
        <w:rPr>
          <w:rFonts w:eastAsia="Calibri" w:cs="Times New Roman"/>
          <w:sz w:val="28"/>
          <w:szCs w:val="28"/>
        </w:rPr>
      </w:pPr>
      <w:r>
        <w:rPr>
          <w:rFonts w:eastAsia="Calibri" w:cs="Times New Roman"/>
          <w:sz w:val="28"/>
          <w:szCs w:val="28"/>
        </w:rPr>
        <w:t>Муниципалитет имеет ряд конкурентных преимуществ, используя которые можно достичь увеличения экономических показателей. К имеющимся преимуществам относятся – выгодное географическое положение (расстояние до г. Ульяновска составляет 75 км., до г. Сызрани – 66 км.); наличие на территории муниципального образования крупных транспортных путей федерального значения (железнодорожная ветка Ульяновск – Сызрань, автомобильная дорога «Подъезд к г. Ульяновску от автомобильной дороги М-5 «Урал»; относительная близость (менее 100 км.) до крупных транспортных хабов – международных аэропортов: «Аэропорт Восточный Ульяновск», «Аэропорт Ульяновск имени Н.М. Карамзина»; железнодорожного вокзала «Ульяновск – Центральный», Ульяновского речного порта.</w:t>
      </w:r>
    </w:p>
    <w:p>
      <w:pPr>
        <w:pStyle w:val="Normal"/>
        <w:ind w:firstLine="709"/>
        <w:jc w:val="both"/>
        <w:rPr>
          <w:rFonts w:eastAsia="Calibri" w:cs="Times New Roman"/>
          <w:sz w:val="28"/>
          <w:szCs w:val="28"/>
        </w:rPr>
      </w:pPr>
      <w:r>
        <w:rPr>
          <w:rFonts w:eastAsia="Calibri" w:cs="Times New Roman"/>
          <w:sz w:val="28"/>
          <w:szCs w:val="28"/>
        </w:rPr>
        <w:t>Основными проблемами транспортной инфраструктуры, препятствующими развитию экономики Тереньгульского района являются: значительная протяжённость автомобильных дорог, не соответствующих нормативным требованиям (139,5 км из 229,1 км дорог с твёрдым покрытием); отсутствие, оборудованных в соответствии с федеральными стандартами, пешеходных переходов и зон освещения как внутри населённых пунктов, так и за их пределами; значительный износ объектов придорожной инфраструктуры (остановочные павильоны) и необходимость их реконструкции.</w:t>
      </w:r>
    </w:p>
    <w:p>
      <w:pPr>
        <w:pStyle w:val="Normal"/>
        <w:ind w:firstLine="709"/>
        <w:jc w:val="both"/>
        <w:rPr>
          <w:rFonts w:eastAsia="Calibri" w:cs="Times New Roman"/>
          <w:b/>
          <w:b/>
          <w:i/>
          <w:i/>
          <w:sz w:val="28"/>
          <w:szCs w:val="28"/>
          <w:u w:val="single"/>
        </w:rPr>
      </w:pPr>
      <w:r>
        <w:rPr>
          <w:rFonts w:eastAsia="Calibri" w:cs="Times New Roman"/>
          <w:b/>
          <w:i/>
          <w:sz w:val="28"/>
          <w:szCs w:val="28"/>
          <w:u w:val="single"/>
        </w:rPr>
      </w:r>
    </w:p>
    <w:p>
      <w:pPr>
        <w:pStyle w:val="Normal"/>
        <w:ind w:firstLine="709"/>
        <w:jc w:val="both"/>
        <w:rPr>
          <w:rFonts w:eastAsia="Calibri" w:cs="Times New Roman"/>
          <w:b/>
          <w:b/>
          <w:i/>
          <w:i/>
          <w:sz w:val="28"/>
          <w:szCs w:val="28"/>
          <w:u w:val="single"/>
        </w:rPr>
      </w:pPr>
      <w:r>
        <w:rPr>
          <w:rFonts w:eastAsia="Calibri" w:cs="Times New Roman"/>
          <w:b/>
          <w:i/>
          <w:sz w:val="28"/>
          <w:szCs w:val="28"/>
          <w:u w:val="single"/>
        </w:rPr>
        <w:t>Подцели:</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обеспечение соответствующими федеральным нормативам автомобильными дорогами с твёрдым покрытием субъектов пассажирских и грузовых перевозок на территории Тереньгульского района;</w:t>
      </w:r>
    </w:p>
    <w:p>
      <w:pPr>
        <w:pStyle w:val="Normal"/>
        <w:spacing w:before="0" w:after="0"/>
        <w:ind w:firstLine="709"/>
        <w:contextualSpacing/>
        <w:jc w:val="both"/>
        <w:rPr>
          <w:rFonts w:eastAsia="Calibri" w:cs="Times New Roman"/>
          <w:b/>
          <w:b/>
          <w:i/>
          <w:i/>
          <w:spacing w:val="-2"/>
          <w:sz w:val="28"/>
          <w:szCs w:val="28"/>
        </w:rPr>
      </w:pPr>
      <w:r>
        <w:rPr>
          <w:rFonts w:eastAsia="Calibri" w:cs="Times New Roman"/>
          <w:b/>
          <w:i/>
          <w:spacing w:val="-2"/>
          <w:sz w:val="28"/>
          <w:szCs w:val="28"/>
        </w:rPr>
        <w:t>- обеспечение стандартов безопасности на имеющихся на территории Тереньгульского района транспортных магистралях (разметка, дорожные знаки и указатели, уровень освещения в тёмное время суток).</w:t>
      </w:r>
    </w:p>
    <w:p>
      <w:pPr>
        <w:pStyle w:val="Normal"/>
        <w:spacing w:before="0" w:after="0"/>
        <w:ind w:firstLine="709"/>
        <w:contextualSpacing/>
        <w:jc w:val="both"/>
        <w:rPr>
          <w:rFonts w:eastAsia="Calibri" w:cs="Times New Roman"/>
          <w:b/>
          <w:b/>
          <w:i/>
          <w:i/>
          <w:spacing w:val="-2"/>
          <w:sz w:val="28"/>
          <w:szCs w:val="28"/>
        </w:rPr>
      </w:pPr>
      <w:r>
        <w:rPr>
          <w:rFonts w:eastAsia="Calibri" w:cs="Times New Roman"/>
          <w:b/>
          <w:i/>
          <w:spacing w:val="-2"/>
          <w:sz w:val="28"/>
          <w:szCs w:val="28"/>
        </w:rPr>
      </w:r>
    </w:p>
    <w:p>
      <w:pPr>
        <w:pStyle w:val="Normal"/>
        <w:spacing w:before="0" w:after="0"/>
        <w:ind w:left="851" w:hanging="0"/>
        <w:contextualSpacing/>
        <w:jc w:val="both"/>
        <w:rPr>
          <w:rFonts w:eastAsia="Calibri" w:cs="Times New Roman"/>
          <w:b/>
          <w:b/>
          <w:sz w:val="28"/>
          <w:szCs w:val="28"/>
        </w:rPr>
      </w:pPr>
      <w:r>
        <w:rPr>
          <w:rFonts w:eastAsia="Calibri"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noVBand="1" w:val="04a0" w:noHBand="0" w:lastColumn="0" w:firstColumn="1" w:lastRow="0" w:firstRow="1"/>
      </w:tblPr>
      <w:tblGrid>
        <w:gridCol w:w="5790"/>
        <w:gridCol w:w="1395"/>
        <w:gridCol w:w="827"/>
        <w:gridCol w:w="840"/>
        <w:gridCol w:w="786"/>
      </w:tblGrid>
      <w:tr>
        <w:trPr/>
        <w:tc>
          <w:tcPr>
            <w:tcW w:w="5790" w:type="dxa"/>
            <w:tcBorders/>
            <w:shd w:fill="auto" w:val="clear"/>
            <w:vAlign w:val="center"/>
          </w:tcPr>
          <w:p>
            <w:pPr>
              <w:pStyle w:val="Normal"/>
              <w:spacing w:lineRule="auto" w:line="240" w:before="0" w:after="0"/>
              <w:ind w:firstLine="709"/>
              <w:jc w:val="center"/>
              <w:rPr>
                <w:rFonts w:eastAsia="Calibri" w:cs="Times New Roman"/>
                <w:b/>
                <w:b/>
              </w:rPr>
            </w:pPr>
            <w:r>
              <w:rPr>
                <w:rFonts w:eastAsia="Calibri" w:cs="Times New Roman"/>
                <w:b/>
              </w:rPr>
              <w:t>Показатель</w:t>
            </w:r>
          </w:p>
        </w:tc>
        <w:tc>
          <w:tcPr>
            <w:tcW w:w="1395" w:type="dxa"/>
            <w:tcBorders/>
            <w:shd w:fill="auto" w:val="clear"/>
            <w:vAlign w:val="center"/>
          </w:tcPr>
          <w:p>
            <w:pPr>
              <w:pStyle w:val="Normal"/>
              <w:spacing w:lineRule="auto" w:line="240" w:before="0" w:after="0"/>
              <w:ind w:firstLine="34"/>
              <w:jc w:val="center"/>
              <w:rPr>
                <w:rFonts w:eastAsia="Calibri" w:cs="Times New Roman"/>
                <w:b/>
                <w:b/>
              </w:rPr>
            </w:pPr>
            <w:r>
              <w:rPr>
                <w:rFonts w:eastAsia="Calibri" w:cs="Times New Roman"/>
                <w:b/>
              </w:rPr>
              <w:t>2017</w:t>
            </w:r>
          </w:p>
          <w:p>
            <w:pPr>
              <w:pStyle w:val="Normal"/>
              <w:spacing w:lineRule="auto" w:line="240" w:before="0" w:after="0"/>
              <w:ind w:firstLine="34"/>
              <w:jc w:val="center"/>
              <w:rPr>
                <w:rFonts w:eastAsia="Calibri" w:cs="Times New Roman"/>
                <w:b/>
                <w:b/>
              </w:rPr>
            </w:pPr>
            <w:r>
              <w:rPr>
                <w:rFonts w:eastAsia="Calibri" w:cs="Times New Roman"/>
                <w:b/>
              </w:rPr>
              <w:t>(базовый)</w:t>
            </w:r>
          </w:p>
        </w:tc>
        <w:tc>
          <w:tcPr>
            <w:tcW w:w="827" w:type="dxa"/>
            <w:tcBorders/>
            <w:shd w:fill="auto" w:val="clear"/>
            <w:vAlign w:val="center"/>
          </w:tcPr>
          <w:p>
            <w:pPr>
              <w:pStyle w:val="Normal"/>
              <w:spacing w:lineRule="auto" w:line="240" w:before="0" w:after="0"/>
              <w:ind w:firstLine="34"/>
              <w:jc w:val="center"/>
              <w:rPr>
                <w:rFonts w:eastAsia="Calibri" w:cs="Times New Roman"/>
                <w:b/>
                <w:b/>
              </w:rPr>
            </w:pPr>
            <w:r>
              <w:rPr>
                <w:rFonts w:eastAsia="Calibri" w:cs="Times New Roman"/>
                <w:b/>
              </w:rPr>
              <w:t>2020</w:t>
            </w:r>
          </w:p>
        </w:tc>
        <w:tc>
          <w:tcPr>
            <w:tcW w:w="840" w:type="dxa"/>
            <w:tcBorders/>
            <w:shd w:fill="auto" w:val="clear"/>
            <w:vAlign w:val="center"/>
          </w:tcPr>
          <w:p>
            <w:pPr>
              <w:pStyle w:val="Normal"/>
              <w:spacing w:lineRule="auto" w:line="240" w:before="0" w:after="0"/>
              <w:ind w:firstLine="34"/>
              <w:jc w:val="center"/>
              <w:rPr>
                <w:rFonts w:eastAsia="Calibri" w:cs="Times New Roman"/>
                <w:b/>
                <w:b/>
              </w:rPr>
            </w:pPr>
            <w:r>
              <w:rPr>
                <w:rFonts w:eastAsia="Calibri" w:cs="Times New Roman"/>
                <w:b/>
              </w:rPr>
              <w:t>2024</w:t>
            </w:r>
          </w:p>
        </w:tc>
        <w:tc>
          <w:tcPr>
            <w:tcW w:w="786" w:type="dxa"/>
            <w:tcBorders/>
            <w:shd w:fill="auto" w:val="clear"/>
            <w:vAlign w:val="center"/>
          </w:tcPr>
          <w:p>
            <w:pPr>
              <w:pStyle w:val="Normal"/>
              <w:spacing w:lineRule="auto" w:line="240" w:before="0" w:after="0"/>
              <w:ind w:firstLine="34"/>
              <w:jc w:val="center"/>
              <w:rPr>
                <w:rFonts w:eastAsia="Calibri" w:cs="Times New Roman"/>
                <w:b/>
                <w:b/>
              </w:rPr>
            </w:pPr>
            <w:r>
              <w:rPr>
                <w:rFonts w:eastAsia="Calibri" w:cs="Times New Roman"/>
                <w:b/>
              </w:rPr>
              <w:t>2030</w:t>
            </w:r>
          </w:p>
        </w:tc>
      </w:tr>
      <w:tr>
        <w:trPr/>
        <w:tc>
          <w:tcPr>
            <w:tcW w:w="5790" w:type="dxa"/>
            <w:tcBorders/>
            <w:shd w:fill="auto" w:val="clear"/>
          </w:tcPr>
          <w:p>
            <w:pPr>
              <w:pStyle w:val="Normal"/>
              <w:spacing w:lineRule="auto" w:line="240" w:before="0" w:after="0"/>
              <w:ind w:hanging="11"/>
              <w:jc w:val="both"/>
              <w:rPr>
                <w:rFonts w:eastAsia="Calibri" w:cs="Times New Roman"/>
              </w:rPr>
            </w:pPr>
            <w:r>
              <w:rPr>
                <w:rFonts w:eastAsia="Calibri" w:cs="Times New Roman"/>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общем количестве автомобильных дорог общего пользования местного значения, %</w:t>
            </w:r>
          </w:p>
        </w:tc>
        <w:tc>
          <w:tcPr>
            <w:tcW w:w="1395"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58</w:t>
            </w:r>
          </w:p>
        </w:tc>
        <w:tc>
          <w:tcPr>
            <w:tcW w:w="827"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53</w:t>
            </w:r>
          </w:p>
        </w:tc>
        <w:tc>
          <w:tcPr>
            <w:tcW w:w="840"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50</w:t>
            </w:r>
          </w:p>
        </w:tc>
        <w:tc>
          <w:tcPr>
            <w:tcW w:w="786"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40</w:t>
            </w:r>
          </w:p>
        </w:tc>
      </w:tr>
      <w:tr>
        <w:trPr/>
        <w:tc>
          <w:tcPr>
            <w:tcW w:w="5790" w:type="dxa"/>
            <w:tcBorders/>
            <w:shd w:fill="auto" w:val="clear"/>
          </w:tcPr>
          <w:p>
            <w:pPr>
              <w:pStyle w:val="Normal"/>
              <w:spacing w:lineRule="auto" w:line="240" w:before="0" w:after="0"/>
              <w:ind w:hanging="11"/>
              <w:jc w:val="both"/>
              <w:rPr>
                <w:rFonts w:eastAsia="Calibri" w:cs="Times New Roman"/>
              </w:rPr>
            </w:pPr>
            <w:r>
              <w:rPr>
                <w:rFonts w:eastAsia="Calibri" w:cs="Times New Roman"/>
              </w:rPr>
              <w:t>Уменьшение транспортного риска (количество ДТП), ед.</w:t>
            </w:r>
          </w:p>
        </w:tc>
        <w:tc>
          <w:tcPr>
            <w:tcW w:w="1395"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95</w:t>
            </w:r>
          </w:p>
        </w:tc>
        <w:tc>
          <w:tcPr>
            <w:tcW w:w="827"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90</w:t>
            </w:r>
          </w:p>
        </w:tc>
        <w:tc>
          <w:tcPr>
            <w:tcW w:w="840"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80</w:t>
            </w:r>
          </w:p>
        </w:tc>
        <w:tc>
          <w:tcPr>
            <w:tcW w:w="786"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65</w:t>
            </w:r>
          </w:p>
        </w:tc>
      </w:tr>
    </w:tbl>
    <w:p>
      <w:pPr>
        <w:pStyle w:val="Normal"/>
        <w:spacing w:lineRule="auto" w:line="252" w:before="0" w:after="0"/>
        <w:ind w:left="851" w:hanging="0"/>
        <w:contextualSpacing/>
        <w:jc w:val="both"/>
        <w:rPr>
          <w:rFonts w:eastAsia="Calibri" w:cs="Times New Roman"/>
          <w:sz w:val="28"/>
          <w:szCs w:val="28"/>
        </w:rPr>
      </w:pPr>
      <w:r>
        <w:rPr>
          <w:rFonts w:eastAsia="Calibri" w:cs="Times New Roman"/>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ind w:firstLine="709"/>
        <w:jc w:val="both"/>
        <w:rPr>
          <w:rFonts w:eastAsia="Calibri" w:cs="Times New Roman"/>
          <w:sz w:val="28"/>
          <w:szCs w:val="28"/>
        </w:rPr>
      </w:pPr>
      <w:r>
        <w:rPr>
          <w:rFonts w:eastAsia="Calibri" w:cs="Times New Roman"/>
          <w:sz w:val="28"/>
          <w:szCs w:val="28"/>
        </w:rPr>
        <w:t xml:space="preserve">1. Ремонт автомобильных дорог с твёрдым покрытием, находящихся на территории Тереньгульского района, доведение их состояния до требуемого </w:t>
        <w:br/>
        <w:t>в соответствии с федеральными нормативами.</w:t>
      </w:r>
    </w:p>
    <w:p>
      <w:pPr>
        <w:pStyle w:val="Normal"/>
        <w:ind w:firstLine="709"/>
        <w:jc w:val="both"/>
        <w:rPr>
          <w:rFonts w:eastAsia="Calibri" w:cs="Times New Roman"/>
          <w:sz w:val="28"/>
          <w:szCs w:val="28"/>
        </w:rPr>
      </w:pPr>
      <w:r>
        <w:rPr>
          <w:rFonts w:eastAsia="Calibri" w:cs="Times New Roman"/>
          <w:sz w:val="28"/>
          <w:szCs w:val="28"/>
        </w:rPr>
        <w:t xml:space="preserve">2. Увеличение протяжённости дорожной сети местного значения (дорог </w:t>
        <w:br/>
        <w:t>с грунтовым и щебёночно-гравийным покрытием), приведение их в соответствие федеральным нормативам.</w:t>
      </w:r>
    </w:p>
    <w:p>
      <w:pPr>
        <w:pStyle w:val="Normal"/>
        <w:ind w:firstLine="709"/>
        <w:jc w:val="both"/>
        <w:rPr>
          <w:rFonts w:eastAsia="Calibri" w:cs="Times New Roman"/>
          <w:sz w:val="28"/>
          <w:szCs w:val="28"/>
        </w:rPr>
      </w:pPr>
      <w:r>
        <w:rPr>
          <w:rFonts w:eastAsia="Calibri" w:cs="Times New Roman"/>
          <w:sz w:val="28"/>
          <w:szCs w:val="28"/>
        </w:rPr>
        <w:t>3. Оборудование пешеходных тротуаров и велодорожек на дорогах общего пользования с твёрдым покрытием в пределах населённых пунктов.</w:t>
      </w:r>
    </w:p>
    <w:p>
      <w:pPr>
        <w:pStyle w:val="Normal"/>
        <w:ind w:firstLine="709"/>
        <w:jc w:val="both"/>
        <w:rPr>
          <w:rFonts w:eastAsia="Calibri" w:cs="Times New Roman"/>
          <w:sz w:val="28"/>
          <w:szCs w:val="28"/>
        </w:rPr>
      </w:pPr>
      <w:r>
        <w:rPr>
          <w:rFonts w:eastAsia="Calibri" w:cs="Times New Roman"/>
          <w:sz w:val="28"/>
          <w:szCs w:val="28"/>
        </w:rPr>
        <w:t>4. Установка дорожных знаков и указателей на дорогах общего пользования с твёрдым покрытием внутри населённых пунктов и за их пределами.</w:t>
      </w:r>
    </w:p>
    <w:p>
      <w:pPr>
        <w:pStyle w:val="Normal"/>
        <w:ind w:firstLine="709"/>
        <w:jc w:val="both"/>
        <w:rPr>
          <w:rFonts w:eastAsia="Calibri" w:cs="Times New Roman"/>
          <w:sz w:val="28"/>
          <w:szCs w:val="28"/>
        </w:rPr>
      </w:pPr>
      <w:r>
        <w:rPr>
          <w:rFonts w:eastAsia="Calibri" w:cs="Times New Roman"/>
          <w:sz w:val="28"/>
          <w:szCs w:val="28"/>
        </w:rPr>
        <w:t xml:space="preserve">5. Обеспечение освещения в ночное время, соответствующего федеральным нормативам, в местах размещения пешеходных переходов </w:t>
        <w:br/>
        <w:t>на дорогах общего пользования с твёрдым покрытием внутри населённых пунктов.</w:t>
      </w:r>
    </w:p>
    <w:p>
      <w:pPr>
        <w:pStyle w:val="Normal"/>
        <w:ind w:firstLine="709"/>
        <w:jc w:val="both"/>
        <w:rPr>
          <w:rFonts w:eastAsia="Calibri" w:cs="Times New Roman"/>
          <w:sz w:val="28"/>
          <w:szCs w:val="28"/>
        </w:rPr>
      </w:pPr>
      <w:r>
        <w:rPr>
          <w:rFonts w:eastAsia="Calibri" w:cs="Times New Roman"/>
          <w:sz w:val="28"/>
          <w:szCs w:val="28"/>
        </w:rPr>
        <w:t>6.</w:t>
      </w:r>
      <w:r>
        <w:rPr>
          <w:rFonts w:eastAsia="Calibri"/>
        </w:rPr>
        <w:t> </w:t>
      </w:r>
      <w:r>
        <w:rPr>
          <w:rFonts w:eastAsia="Calibri" w:cs="Times New Roman"/>
          <w:sz w:val="28"/>
          <w:szCs w:val="28"/>
        </w:rPr>
        <w:t>Обеспечение отрасли дорожного хозяйства необходимой специализированной дорожной техникой.</w:t>
      </w:r>
    </w:p>
    <w:p>
      <w:pPr>
        <w:pStyle w:val="ListParagraph"/>
        <w:ind w:left="0" w:hanging="0"/>
        <w:rPr>
          <w:rFonts w:cs="Times New Roman"/>
          <w:b/>
          <w:b/>
          <w:sz w:val="28"/>
          <w:szCs w:val="28"/>
        </w:rPr>
      </w:pPr>
      <w:r>
        <w:rPr>
          <w:rFonts w:cs="Times New Roman"/>
          <w:b/>
          <w:sz w:val="28"/>
          <w:szCs w:val="28"/>
        </w:rPr>
      </w:r>
    </w:p>
    <w:p>
      <w:pPr>
        <w:pStyle w:val="Normal"/>
        <w:rPr/>
      </w:pPr>
      <w:bookmarkStart w:id="62" w:name="_Toc4405027"/>
      <w:r>
        <w:rPr/>
        <w:t>2.3.2. Повышение качества и доступности услуг связи</w:t>
      </w:r>
      <w:bookmarkEnd w:id="62"/>
    </w:p>
    <w:p>
      <w:pPr>
        <w:pStyle w:val="ListParagraph"/>
        <w:ind w:left="0" w:firstLine="709"/>
        <w:jc w:val="both"/>
        <w:rPr>
          <w:rFonts w:cs="Times New Roman"/>
          <w:sz w:val="28"/>
          <w:szCs w:val="28"/>
        </w:rPr>
      </w:pPr>
      <w:r>
        <w:rPr>
          <w:rFonts w:cs="Times New Roman"/>
          <w:sz w:val="28"/>
          <w:szCs w:val="28"/>
        </w:rPr>
        <w:t xml:space="preserve">Связь </w:t>
      </w:r>
      <w:r>
        <w:rPr>
          <w:rFonts w:eastAsia="Symbol" w:cs="Symbol" w:ascii="Symbol" w:hAnsi="Symbol"/>
          <w:sz w:val="28"/>
          <w:szCs w:val="28"/>
        </w:rPr>
        <w:t></w:t>
      </w:r>
      <w:r>
        <w:rPr>
          <w:rFonts w:cs="Times New Roman"/>
          <w:sz w:val="28"/>
          <w:szCs w:val="28"/>
        </w:rPr>
        <w:t xml:space="preserve"> это важнейший элемент инфраструктуры территории, основной задачей которой является обеспечение нормальных условий жизни населения.</w:t>
      </w:r>
    </w:p>
    <w:p>
      <w:pPr>
        <w:pStyle w:val="ListParagraph"/>
        <w:ind w:left="0" w:firstLine="709"/>
        <w:jc w:val="both"/>
        <w:rPr>
          <w:rFonts w:cs="Times New Roman"/>
          <w:sz w:val="28"/>
          <w:szCs w:val="28"/>
        </w:rPr>
      </w:pPr>
      <w:r>
        <w:rPr>
          <w:rFonts w:cs="Times New Roman"/>
          <w:sz w:val="28"/>
          <w:szCs w:val="28"/>
        </w:rPr>
        <w:t>В настоящее время значение информации все более возрастает, следовательно, возрастает и значение средств связи, обеспечивающих передачу информации.</w:t>
      </w:r>
    </w:p>
    <w:p>
      <w:pPr>
        <w:pStyle w:val="ListParagraph"/>
        <w:ind w:left="0" w:firstLine="709"/>
        <w:jc w:val="both"/>
        <w:rPr>
          <w:rFonts w:cs="Times New Roman"/>
          <w:sz w:val="28"/>
          <w:szCs w:val="28"/>
          <w:highlight w:val="yellow"/>
        </w:rPr>
      </w:pPr>
      <w:r>
        <w:rPr>
          <w:rFonts w:cs="Times New Roman"/>
          <w:sz w:val="28"/>
          <w:szCs w:val="28"/>
          <w:highlight w:val="yellow"/>
        </w:rPr>
      </w:r>
    </w:p>
    <w:p>
      <w:pPr>
        <w:pStyle w:val="ListParagraph"/>
        <w:ind w:left="0" w:firstLine="709"/>
        <w:jc w:val="both"/>
        <w:rPr>
          <w:rFonts w:cs="Times New Roman"/>
          <w:b/>
          <w:b/>
          <w:i/>
          <w:i/>
          <w:sz w:val="28"/>
          <w:szCs w:val="28"/>
        </w:rPr>
      </w:pPr>
      <w:r>
        <w:rPr>
          <w:rFonts w:cs="Times New Roman"/>
          <w:b/>
          <w:i/>
          <w:sz w:val="28"/>
          <w:szCs w:val="28"/>
        </w:rPr>
        <w:t>Подцели:</w:t>
      </w:r>
    </w:p>
    <w:p>
      <w:pPr>
        <w:pStyle w:val="ListParagraph"/>
        <w:ind w:left="0" w:firstLine="709"/>
        <w:jc w:val="both"/>
        <w:rPr>
          <w:rFonts w:cs="Times New Roman"/>
          <w:b/>
          <w:b/>
          <w:i/>
          <w:i/>
          <w:sz w:val="28"/>
          <w:szCs w:val="28"/>
        </w:rPr>
      </w:pPr>
      <w:r>
        <w:rPr>
          <w:rFonts w:cs="Times New Roman"/>
          <w:b/>
          <w:i/>
          <w:sz w:val="28"/>
          <w:szCs w:val="28"/>
        </w:rPr>
        <w:t>- обеспечение уверенным сигналом сотовой связи 100% населения района к 2030 году;</w:t>
      </w:r>
    </w:p>
    <w:p>
      <w:pPr>
        <w:pStyle w:val="ListParagraph"/>
        <w:ind w:left="0" w:firstLine="709"/>
        <w:jc w:val="both"/>
        <w:rPr>
          <w:rFonts w:cs="Times New Roman"/>
          <w:b/>
          <w:b/>
          <w:i/>
          <w:i/>
          <w:sz w:val="28"/>
          <w:szCs w:val="28"/>
        </w:rPr>
      </w:pPr>
      <w:r>
        <w:rPr>
          <w:rFonts w:cs="Times New Roman"/>
          <w:b/>
          <w:i/>
          <w:sz w:val="28"/>
          <w:szCs w:val="28"/>
        </w:rPr>
        <w:t xml:space="preserve">- обеспечение охвата населения района широкополосным доступом </w:t>
        <w:br/>
        <w:t>к информационно-телекоммуникационной сети «Интернет» на уровне 100% к 2030 году;</w:t>
      </w:r>
    </w:p>
    <w:p>
      <w:pPr>
        <w:pStyle w:val="ListParagraph"/>
        <w:ind w:left="0" w:firstLine="709"/>
        <w:jc w:val="both"/>
        <w:rPr>
          <w:rFonts w:cs="Times New Roman"/>
          <w:b/>
          <w:b/>
          <w:i/>
          <w:i/>
          <w:sz w:val="28"/>
          <w:szCs w:val="28"/>
        </w:rPr>
      </w:pPr>
      <w:r>
        <w:rPr>
          <w:rFonts w:cs="Times New Roman"/>
          <w:b/>
          <w:i/>
          <w:sz w:val="28"/>
          <w:szCs w:val="28"/>
        </w:rPr>
        <w:t>- обеспечение зоны покрытия цифровым телерадиовещанием</w:t>
        <w:br/>
        <w:t xml:space="preserve">на территории района на уровне 100% к 2030 году. </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noVBand="1" w:val="04a0" w:noHBand="0" w:lastColumn="0" w:firstColumn="1" w:lastRow="0" w:firstRow="1"/>
      </w:tblPr>
      <w:tblGrid>
        <w:gridCol w:w="5235"/>
        <w:gridCol w:w="1388"/>
        <w:gridCol w:w="968"/>
        <w:gridCol w:w="1110"/>
        <w:gridCol w:w="937"/>
      </w:tblGrid>
      <w:tr>
        <w:trPr/>
        <w:tc>
          <w:tcPr>
            <w:tcW w:w="5235"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38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6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111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37"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235" w:type="dxa"/>
            <w:tcBorders/>
            <w:shd w:fill="auto" w:val="clear"/>
          </w:tcPr>
          <w:p>
            <w:pPr>
              <w:pStyle w:val="ListParagraph"/>
              <w:spacing w:lineRule="auto" w:line="240" w:before="0" w:after="0"/>
              <w:ind w:left="0" w:hanging="11"/>
              <w:contextualSpacing/>
              <w:jc w:val="both"/>
              <w:rPr>
                <w:rFonts w:cs="Times New Roman"/>
              </w:rPr>
            </w:pPr>
            <w:r>
              <w:rPr>
                <w:rFonts w:cs="Times New Roman"/>
              </w:rPr>
              <w:t>Доля населения в зоне охвата сотовой связи, в общей численности населения, %</w:t>
            </w:r>
          </w:p>
        </w:tc>
        <w:tc>
          <w:tcPr>
            <w:tcW w:w="138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88</w:t>
            </w:r>
          </w:p>
        </w:tc>
        <w:tc>
          <w:tcPr>
            <w:tcW w:w="96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94</w:t>
            </w:r>
          </w:p>
        </w:tc>
        <w:tc>
          <w:tcPr>
            <w:tcW w:w="111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96</w:t>
            </w:r>
          </w:p>
        </w:tc>
        <w:tc>
          <w:tcPr>
            <w:tcW w:w="93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w:t>
            </w:r>
          </w:p>
        </w:tc>
      </w:tr>
      <w:tr>
        <w:trPr/>
        <w:tc>
          <w:tcPr>
            <w:tcW w:w="5235" w:type="dxa"/>
            <w:tcBorders/>
            <w:shd w:fill="auto" w:val="clear"/>
          </w:tcPr>
          <w:p>
            <w:pPr>
              <w:pStyle w:val="ListParagraph"/>
              <w:spacing w:lineRule="auto" w:line="240" w:before="0" w:after="0"/>
              <w:ind w:left="0" w:hanging="11"/>
              <w:contextualSpacing/>
              <w:jc w:val="both"/>
              <w:rPr>
                <w:rFonts w:cs="Times New Roman"/>
                <w:spacing w:val="-4"/>
              </w:rPr>
            </w:pPr>
            <w:r>
              <w:rPr>
                <w:rFonts w:cs="Times New Roman"/>
                <w:spacing w:val="-4"/>
              </w:rPr>
              <w:t>Доля населения, имеющего техническую возможность доступа к информационно-телекоммуникационной сети «Интернет», в общей численности населения, %</w:t>
            </w:r>
          </w:p>
        </w:tc>
        <w:tc>
          <w:tcPr>
            <w:tcW w:w="138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83,5</w:t>
            </w:r>
          </w:p>
        </w:tc>
        <w:tc>
          <w:tcPr>
            <w:tcW w:w="96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96,5</w:t>
            </w:r>
          </w:p>
        </w:tc>
        <w:tc>
          <w:tcPr>
            <w:tcW w:w="111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98,5</w:t>
            </w:r>
          </w:p>
        </w:tc>
        <w:tc>
          <w:tcPr>
            <w:tcW w:w="93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w:t>
            </w:r>
          </w:p>
        </w:tc>
      </w:tr>
      <w:tr>
        <w:trPr/>
        <w:tc>
          <w:tcPr>
            <w:tcW w:w="5235" w:type="dxa"/>
            <w:tcBorders/>
            <w:shd w:fill="auto" w:val="clear"/>
          </w:tcPr>
          <w:p>
            <w:pPr>
              <w:pStyle w:val="ListParagraph"/>
              <w:spacing w:lineRule="auto" w:line="240" w:before="0" w:after="0"/>
              <w:ind w:left="0" w:hanging="11"/>
              <w:contextualSpacing/>
              <w:jc w:val="both"/>
              <w:rPr>
                <w:rFonts w:cs="Times New Roman"/>
                <w:spacing w:val="-4"/>
              </w:rPr>
            </w:pPr>
            <w:r>
              <w:rPr>
                <w:rFonts w:cs="Times New Roman"/>
                <w:spacing w:val="-4"/>
              </w:rPr>
              <w:t>Доля населения в зоне цифрового теле</w:t>
              <w:softHyphen/>
              <w:t>радиовещания в общей численности населения, %</w:t>
            </w:r>
          </w:p>
        </w:tc>
        <w:tc>
          <w:tcPr>
            <w:tcW w:w="138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96,4</w:t>
            </w:r>
          </w:p>
        </w:tc>
        <w:tc>
          <w:tcPr>
            <w:tcW w:w="96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97,4</w:t>
            </w:r>
          </w:p>
        </w:tc>
        <w:tc>
          <w:tcPr>
            <w:tcW w:w="111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98,4</w:t>
            </w:r>
          </w:p>
        </w:tc>
        <w:tc>
          <w:tcPr>
            <w:tcW w:w="93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 xml:space="preserve">В соответствии с Федеральным законом РФ от 07.07.2003 № 126-ФЗ </w:t>
        <w:br/>
        <w:t>«О связи» осуществление и обеспечение электросвязи (любые излучение,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 и почтовой связи относятся к полномочиям федерального уровня.</w:t>
      </w:r>
    </w:p>
    <w:p>
      <w:pPr>
        <w:pStyle w:val="ListParagraph"/>
        <w:ind w:left="0" w:firstLine="709"/>
        <w:jc w:val="both"/>
        <w:rPr>
          <w:rFonts w:cs="Times New Roman"/>
          <w:sz w:val="28"/>
          <w:szCs w:val="28"/>
        </w:rPr>
      </w:pPr>
      <w:r>
        <w:rPr>
          <w:rFonts w:cs="Times New Roman"/>
          <w:b/>
          <w:sz w:val="28"/>
          <w:szCs w:val="28"/>
        </w:rPr>
        <w:t>Основной задачей</w:t>
      </w:r>
      <w:r>
        <w:rPr>
          <w:rFonts w:cs="Times New Roman"/>
          <w:sz w:val="28"/>
          <w:szCs w:val="28"/>
        </w:rPr>
        <w:t xml:space="preserve"> органов местного самоуправления Тереньгульского района, определённой в рамках Федерального закона РФ от 07.07.2003 </w:t>
        <w:br/>
        <w:t>№ 126-ФЗ «О связи», является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К универсальным услугам связи относятся оказываемые с использованием средств коллективного доступа или точек доступа:</w:t>
      </w:r>
    </w:p>
    <w:p>
      <w:pPr>
        <w:pStyle w:val="ListParagraph"/>
        <w:ind w:left="0" w:firstLine="709"/>
        <w:jc w:val="both"/>
        <w:rPr>
          <w:rFonts w:cs="Times New Roman"/>
          <w:sz w:val="28"/>
          <w:szCs w:val="28"/>
        </w:rPr>
      </w:pPr>
      <w:r>
        <w:rPr>
          <w:rFonts w:cs="Times New Roman"/>
          <w:sz w:val="28"/>
          <w:szCs w:val="28"/>
        </w:rPr>
        <w:t>- услуги телефонной связи с использованием таксофонов, многофункциональных устройств, информационных киосков (инфоматов) и аналогичных устройств;</w:t>
      </w:r>
    </w:p>
    <w:p>
      <w:pPr>
        <w:pStyle w:val="ListParagraph"/>
        <w:ind w:left="0" w:firstLine="709"/>
        <w:jc w:val="both"/>
        <w:rPr>
          <w:rFonts w:cs="Times New Roman"/>
          <w:sz w:val="28"/>
          <w:szCs w:val="28"/>
        </w:rPr>
      </w:pPr>
      <w:r>
        <w:rPr>
          <w:rFonts w:cs="Times New Roman"/>
          <w:sz w:val="28"/>
          <w:szCs w:val="28"/>
        </w:rPr>
        <w:t xml:space="preserve">- услуги по передаче данных и предоставлению доступа </w:t>
        <w:br/>
        <w:t>к информационно-телекоммуникационной сети «Интернет» с использованием средств коллективного доступа;</w:t>
      </w:r>
    </w:p>
    <w:p>
      <w:pPr>
        <w:pStyle w:val="ListParagraph"/>
        <w:ind w:left="0" w:firstLine="709"/>
        <w:jc w:val="both"/>
        <w:rPr>
          <w:rFonts w:cs="Times New Roman"/>
          <w:sz w:val="28"/>
          <w:szCs w:val="28"/>
        </w:rPr>
      </w:pPr>
      <w:r>
        <w:rPr>
          <w:rFonts w:cs="Times New Roman"/>
          <w:sz w:val="28"/>
          <w:szCs w:val="28"/>
        </w:rPr>
        <w:t xml:space="preserve">- услуги по передаче данных и предоставлению доступа </w:t>
        <w:br/>
        <w:t>к информационно-телекоммуникационной сети «Интернет» с использованием точек доступа.</w:t>
      </w:r>
    </w:p>
    <w:p>
      <w:pPr>
        <w:pStyle w:val="ListParagraph"/>
        <w:ind w:left="0" w:firstLine="709"/>
        <w:jc w:val="both"/>
        <w:rPr>
          <w:rFonts w:cs="Times New Roman"/>
          <w:sz w:val="28"/>
          <w:szCs w:val="28"/>
        </w:rPr>
      </w:pPr>
      <w:r>
        <w:rPr>
          <w:rFonts w:cs="Times New Roman"/>
          <w:sz w:val="28"/>
          <w:szCs w:val="28"/>
        </w:rPr>
        <w:t>На территории Тереньгульского района установлено 39 таксофонов. Коллективные точки доступа к информационно-телекоммуникационной сети «Интернет» оборудованы в 7 населённых пунктах:</w:t>
      </w:r>
      <w:r>
        <w:rPr/>
        <w:t xml:space="preserve"> </w:t>
      </w:r>
      <w:r>
        <w:rPr>
          <w:rFonts w:cs="Times New Roman"/>
          <w:sz w:val="28"/>
          <w:szCs w:val="28"/>
        </w:rPr>
        <w:t xml:space="preserve">с. Большая Борла </w:t>
        <w:br/>
        <w:t>(306 человек),</w:t>
      </w:r>
      <w:r>
        <w:rPr/>
        <w:t xml:space="preserve"> </w:t>
      </w:r>
      <w:r>
        <w:rPr>
          <w:rFonts w:cs="Times New Roman"/>
          <w:sz w:val="28"/>
          <w:szCs w:val="28"/>
        </w:rPr>
        <w:t xml:space="preserve">с. Белогорское (314 человек), с. Гавриловка (452 человека), </w:t>
        <w:br/>
        <w:t xml:space="preserve">с. Елшанка (432 человека), с. Михайловка (388 человек), с. Скугареевка </w:t>
        <w:br/>
        <w:t>(438 человек),</w:t>
      </w:r>
      <w:r>
        <w:rPr/>
        <w:t xml:space="preserve"> </w:t>
      </w:r>
      <w:r>
        <w:rPr>
          <w:rFonts w:cs="Times New Roman"/>
          <w:sz w:val="28"/>
          <w:szCs w:val="28"/>
        </w:rPr>
        <w:t>с. Федькино (316 человек).</w:t>
      </w:r>
    </w:p>
    <w:p>
      <w:pPr>
        <w:pStyle w:val="ListParagraph"/>
        <w:ind w:left="709" w:hanging="0"/>
        <w:jc w:val="both"/>
        <w:rPr>
          <w:rFonts w:cs="Times New Roman"/>
          <w:sz w:val="28"/>
          <w:szCs w:val="28"/>
        </w:rPr>
      </w:pPr>
      <w:r>
        <w:rPr>
          <w:rFonts w:cs="Times New Roman"/>
          <w:sz w:val="28"/>
          <w:szCs w:val="28"/>
        </w:rPr>
      </w:r>
    </w:p>
    <w:p>
      <w:pPr>
        <w:pStyle w:val="Normal"/>
        <w:rPr/>
      </w:pPr>
      <w:bookmarkStart w:id="63" w:name="_Toc4405028"/>
      <w:r>
        <w:rPr/>
        <w:t xml:space="preserve">2.3.3. Обеспечение бесперебойной работы </w:t>
        <w:br/>
        <w:t>жилищно-коммунального комплекса</w:t>
      </w:r>
      <w:bookmarkEnd w:id="63"/>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Функционирование отрасли ЖКХ, создание жилищно-коммунальных услуг относится к ряду важнейших задач в жизнеобеспечении населения муниципального образования.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Наряду с общеизвестными проблемами, связанными с острым дефицитом финансовых ресурсов, слабой материально-технической базой, недостаточной проработанностью нормативно-правовых аспектов, на первый план выходит проблема управления сферой ЖКХ.</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В муниципальном образовании «Тереньгульский район» на сегодняшний день отсутствует стратегия развития сферы жилищно-коммунального хозяйства, которая обеспечивала бы наиболее полное удовлетворение потребностей и интересов жителей района.</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Анализ остроты широкого круга вопросов управления сферой ЖКХ в муниципальном образовании «Тереньгульский район» подтверждает необходимость коренного реформирования системы управления, а сама система управления ЖКХ требует серьёзных преобразований.</w:t>
      </w:r>
    </w:p>
    <w:p>
      <w:pPr>
        <w:pStyle w:val="Normal"/>
        <w:ind w:firstLine="709"/>
        <w:jc w:val="both"/>
        <w:rPr>
          <w:rFonts w:eastAsia="Calibri" w:cs="Times New Roman"/>
          <w:spacing w:val="2"/>
          <w:sz w:val="28"/>
          <w:szCs w:val="28"/>
          <w:highlight w:val="white"/>
        </w:rPr>
      </w:pPr>
      <w:r>
        <w:rPr>
          <w:rFonts w:eastAsia="Calibri" w:cs="Times New Roman"/>
          <w:spacing w:val="2"/>
          <w:sz w:val="28"/>
          <w:szCs w:val="28"/>
          <w:highlight w:val="white"/>
        </w:rPr>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 – повышение качества жизни населения на основе совершенствования системы жилищно-коммунального хозяйства.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r>
    </w:p>
    <w:p>
      <w:pPr>
        <w:pStyle w:val="Normal"/>
        <w:spacing w:before="0" w:after="0"/>
        <w:ind w:firstLine="709"/>
        <w:contextualSpacing/>
        <w:jc w:val="both"/>
        <w:rPr>
          <w:rFonts w:eastAsia="Calibri" w:cs="Times New Roman"/>
          <w:b/>
          <w:b/>
          <w:sz w:val="28"/>
          <w:szCs w:val="28"/>
          <w:highlight w:val="red"/>
        </w:rPr>
      </w:pPr>
      <w:r>
        <w:rPr>
          <w:rFonts w:eastAsia="Calibri" w:cs="Times New Roman"/>
          <w:b/>
          <w:sz w:val="28"/>
          <w:szCs w:val="28"/>
        </w:rPr>
        <w:t xml:space="preserve">Целевые показатели: </w:t>
      </w:r>
    </w:p>
    <w:tbl>
      <w:tblPr>
        <w:tblStyle w:val="24"/>
        <w:tblW w:w="5000" w:type="pct"/>
        <w:jc w:val="left"/>
        <w:tblInd w:w="0" w:type="dxa"/>
        <w:tblCellMar>
          <w:top w:w="0" w:type="dxa"/>
          <w:left w:w="108" w:type="dxa"/>
          <w:bottom w:w="0" w:type="dxa"/>
          <w:right w:w="108" w:type="dxa"/>
        </w:tblCellMar>
        <w:tblLook w:noVBand="1" w:val="04a0" w:noHBand="0" w:lastColumn="0" w:firstColumn="1" w:lastRow="0" w:firstRow="1"/>
      </w:tblPr>
      <w:tblGrid>
        <w:gridCol w:w="5097"/>
        <w:gridCol w:w="1388"/>
        <w:gridCol w:w="1107"/>
        <w:gridCol w:w="1110"/>
        <w:gridCol w:w="936"/>
      </w:tblGrid>
      <w:tr>
        <w:trPr/>
        <w:tc>
          <w:tcPr>
            <w:tcW w:w="5097"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Показатель</w:t>
            </w:r>
          </w:p>
        </w:tc>
        <w:tc>
          <w:tcPr>
            <w:tcW w:w="1388"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2017 (базовый)</w:t>
            </w:r>
          </w:p>
        </w:tc>
        <w:tc>
          <w:tcPr>
            <w:tcW w:w="1107"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2020</w:t>
            </w:r>
          </w:p>
        </w:tc>
        <w:tc>
          <w:tcPr>
            <w:tcW w:w="1110"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2025</w:t>
            </w:r>
          </w:p>
        </w:tc>
        <w:tc>
          <w:tcPr>
            <w:tcW w:w="936"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2030</w:t>
            </w:r>
          </w:p>
        </w:tc>
      </w:tr>
      <w:tr>
        <w:trPr>
          <w:trHeight w:val="562" w:hRule="atLeast"/>
        </w:trPr>
        <w:tc>
          <w:tcPr>
            <w:tcW w:w="5097" w:type="dxa"/>
            <w:tcBorders/>
            <w:shd w:fill="auto" w:val="clea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Уровень газификации объектов социальной сферы, %</w:t>
            </w:r>
          </w:p>
        </w:tc>
        <w:tc>
          <w:tcPr>
            <w:tcW w:w="1388"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46</w:t>
            </w:r>
          </w:p>
        </w:tc>
        <w:tc>
          <w:tcPr>
            <w:tcW w:w="1107"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50</w:t>
            </w:r>
          </w:p>
        </w:tc>
        <w:tc>
          <w:tcPr>
            <w:tcW w:w="1110" w:type="dxa"/>
            <w:tcBorders/>
            <w:shd w:fill="auto" w:val="clear"/>
            <w:vAlign w:val="center"/>
          </w:tcPr>
          <w:p>
            <w:pPr>
              <w:pStyle w:val="Normal"/>
              <w:keepNext w:val="true"/>
              <w:keepLines/>
              <w:widowControl/>
              <w:suppressAutoHyphens w:val="true"/>
              <w:spacing w:lineRule="auto" w:line="240" w:before="0" w:after="0"/>
              <w:contextualSpacing/>
              <w:jc w:val="center"/>
              <w:rPr>
                <w:lang w:val="en-US"/>
              </w:rPr>
            </w:pPr>
            <w:r>
              <w:rPr>
                <w:rFonts w:eastAsia="Calibri" w:cs="Times New Roman" w:ascii="Calibri" w:hAnsi="Calibri"/>
                <w:b/>
                <w:bCs/>
                <w:i/>
                <w:color w:val="auto" w:themeColor="accent1"/>
                <w:kern w:val="0"/>
                <w:sz w:val="28"/>
                <w:szCs w:val="28"/>
                <w:u w:val="single"/>
                <w:lang w:val="ru-RU" w:eastAsia="ar-SA" w:bidi="ar-SA"/>
              </w:rPr>
              <w:t xml:space="preserve">Не </w:t>
            </w:r>
            <w:r>
              <w:rPr>
                <w:rFonts w:eastAsia="Calibri" w:cs="Times New Roman" w:ascii="Calibri" w:hAnsi="Calibri"/>
                <w:b/>
                <w:bCs/>
                <w:i/>
                <w:color w:val="auto" w:themeColor="accent1"/>
                <w:kern w:val="0"/>
                <w:sz w:val="28"/>
                <w:szCs w:val="28"/>
                <w:u w:val="single"/>
                <w:lang w:val="en-US" w:eastAsia="ar-SA" w:bidi="ar-SA"/>
              </w:rPr>
              <w:t>&lt;</w:t>
            </w:r>
            <w:r>
              <w:rPr>
                <w:rFonts w:eastAsia="Calibri" w:cs="Times New Roman" w:ascii="Calibri" w:hAnsi="Calibri"/>
                <w:b/>
                <w:bCs/>
                <w:i/>
                <w:color w:val="auto" w:themeColor="accent1"/>
                <w:kern w:val="0"/>
                <w:sz w:val="28"/>
                <w:szCs w:val="28"/>
                <w:u w:val="single"/>
                <w:lang w:val="ru-RU" w:eastAsia="ar-SA" w:bidi="ar-SA"/>
              </w:rPr>
              <w:t>60</w:t>
            </w:r>
          </w:p>
        </w:tc>
        <w:tc>
          <w:tcPr>
            <w:tcW w:w="936" w:type="dxa"/>
            <w:tcBorders/>
            <w:shd w:fill="auto" w:val="clear"/>
            <w:vAlign w:val="center"/>
          </w:tcPr>
          <w:p>
            <w:pPr>
              <w:pStyle w:val="Normal"/>
              <w:keepNext w:val="true"/>
              <w:keepLines/>
              <w:widowControl/>
              <w:suppressAutoHyphens w:val="true"/>
              <w:spacing w:lineRule="auto" w:line="240" w:before="0" w:after="0"/>
              <w:contextualSpacing/>
              <w:jc w:val="center"/>
              <w:rPr>
                <w:spacing w:val="-4"/>
              </w:rPr>
            </w:pPr>
            <w:r>
              <w:rPr>
                <w:rFonts w:eastAsia="Calibri" w:cs="Times New Roman" w:ascii="Calibri" w:hAnsi="Calibri"/>
                <w:b/>
                <w:bCs/>
                <w:i/>
                <w:color w:val="auto" w:themeColor="accent1"/>
                <w:kern w:val="0"/>
                <w:sz w:val="28"/>
                <w:szCs w:val="28"/>
                <w:u w:val="single"/>
                <w:lang w:val="ru-RU" w:eastAsia="ar-SA" w:bidi="ar-SA"/>
              </w:rPr>
              <w:t xml:space="preserve">Не </w:t>
            </w:r>
            <w:r>
              <w:rPr>
                <w:rFonts w:eastAsia="Calibri" w:cs="Times New Roman" w:ascii="Calibri" w:hAnsi="Calibri"/>
                <w:b/>
                <w:bCs/>
                <w:i/>
                <w:color w:val="auto" w:themeColor="accent1"/>
                <w:kern w:val="0"/>
                <w:sz w:val="28"/>
                <w:szCs w:val="28"/>
                <w:u w:val="single"/>
                <w:lang w:val="en-US" w:eastAsia="ar-SA" w:bidi="ar-SA"/>
              </w:rPr>
              <w:t>&lt;</w:t>
            </w:r>
            <w:r>
              <w:rPr>
                <w:rFonts w:eastAsia="Calibri" w:cs="Times New Roman" w:ascii="Calibri" w:hAnsi="Calibri"/>
                <w:b/>
                <w:bCs/>
                <w:i/>
                <w:color w:val="auto" w:themeColor="accent1"/>
                <w:kern w:val="0"/>
                <w:sz w:val="28"/>
                <w:szCs w:val="28"/>
                <w:u w:val="single"/>
                <w:lang w:val="ru-RU" w:eastAsia="ar-SA" w:bidi="ar-SA"/>
              </w:rPr>
              <w:t>60</w:t>
            </w:r>
          </w:p>
        </w:tc>
      </w:tr>
      <w:tr>
        <w:trPr>
          <w:trHeight w:val="828" w:hRule="atLeast"/>
        </w:trPr>
        <w:tc>
          <w:tcPr>
            <w:tcW w:w="5097" w:type="dxa"/>
            <w:tcBorders/>
            <w:shd w:fill="auto" w:val="clea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Удельный вес площади жилищного фонда, оборудованного водопроводом, %</w:t>
            </w:r>
          </w:p>
        </w:tc>
        <w:tc>
          <w:tcPr>
            <w:tcW w:w="1388"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46</w:t>
            </w:r>
          </w:p>
        </w:tc>
        <w:tc>
          <w:tcPr>
            <w:tcW w:w="1107"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67</w:t>
            </w:r>
          </w:p>
        </w:tc>
        <w:tc>
          <w:tcPr>
            <w:tcW w:w="1110"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 xml:space="preserve">Не </w:t>
            </w:r>
            <w:r>
              <w:rPr>
                <w:rFonts w:eastAsia="Calibri" w:cs="Times New Roman" w:ascii="Calibri" w:hAnsi="Calibri"/>
                <w:b/>
                <w:bCs/>
                <w:i/>
                <w:color w:val="auto" w:themeColor="accent1"/>
                <w:kern w:val="0"/>
                <w:sz w:val="28"/>
                <w:szCs w:val="28"/>
                <w:u w:val="single"/>
                <w:lang w:val="en-US" w:eastAsia="ar-SA" w:bidi="ar-SA"/>
              </w:rPr>
              <w:t>&lt;</w:t>
            </w:r>
            <w:r>
              <w:rPr>
                <w:rFonts w:eastAsia="Calibri" w:cs="Times New Roman" w:ascii="Calibri" w:hAnsi="Calibri"/>
                <w:b/>
                <w:bCs/>
                <w:i/>
                <w:color w:val="auto" w:themeColor="accent1"/>
                <w:kern w:val="0"/>
                <w:sz w:val="28"/>
                <w:szCs w:val="28"/>
                <w:u w:val="single"/>
                <w:lang w:val="ru-RU" w:eastAsia="ar-SA" w:bidi="ar-SA"/>
              </w:rPr>
              <w:t>70</w:t>
            </w:r>
          </w:p>
        </w:tc>
        <w:tc>
          <w:tcPr>
            <w:tcW w:w="936"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 xml:space="preserve">Не </w:t>
            </w:r>
            <w:r>
              <w:rPr>
                <w:rFonts w:eastAsia="Calibri" w:cs="Times New Roman" w:ascii="Calibri" w:hAnsi="Calibri"/>
                <w:b/>
                <w:bCs/>
                <w:i/>
                <w:color w:val="auto" w:themeColor="accent1"/>
                <w:kern w:val="0"/>
                <w:sz w:val="28"/>
                <w:szCs w:val="28"/>
                <w:u w:val="single"/>
                <w:lang w:val="en-US" w:eastAsia="ar-SA" w:bidi="ar-SA"/>
              </w:rPr>
              <w:t>&lt;</w:t>
            </w:r>
            <w:r>
              <w:rPr>
                <w:rFonts w:eastAsia="Calibri" w:cs="Times New Roman" w:ascii="Calibri" w:hAnsi="Calibri"/>
                <w:b/>
                <w:bCs/>
                <w:i/>
                <w:color w:val="auto" w:themeColor="accent1"/>
                <w:kern w:val="0"/>
                <w:sz w:val="28"/>
                <w:szCs w:val="28"/>
                <w:u w:val="single"/>
                <w:lang w:val="ru-RU" w:eastAsia="ar-SA" w:bidi="ar-SA"/>
              </w:rPr>
              <w:t>70</w:t>
            </w:r>
          </w:p>
        </w:tc>
      </w:tr>
    </w:tbl>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1. Коренная модернизация объектов инженерной инфраструктуры, отвечающих мировым стандартам и экологическим требованиям.</w:t>
      </w:r>
    </w:p>
    <w:p>
      <w:pPr>
        <w:pStyle w:val="Normal"/>
        <w:tabs>
          <w:tab w:val="clear" w:pos="708"/>
          <w:tab w:val="left" w:pos="0" w:leader="none"/>
          <w:tab w:val="left" w:pos="284" w:leader="none"/>
        </w:tabs>
        <w:spacing w:before="0" w:after="0"/>
        <w:ind w:firstLine="720"/>
        <w:contextualSpacing/>
        <w:jc w:val="both"/>
        <w:rPr>
          <w:rFonts w:eastAsia="Calibri" w:cs="Times New Roman"/>
          <w:sz w:val="28"/>
          <w:szCs w:val="28"/>
        </w:rPr>
      </w:pPr>
      <w:r>
        <w:rPr>
          <w:rFonts w:eastAsia="Calibri" w:cs="Times New Roman"/>
          <w:sz w:val="28"/>
          <w:szCs w:val="28"/>
        </w:rPr>
        <w:t>2. Развитие магистральной и распределительной газотранспортной инфраструктуры в целях обеспечения природным газом объектов коммунальной энергетики, предприятий бюджетной сферы и жилищного фонда.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3. Модернизация и реконструкция существующих коммунальных систем с учётом современных норм и требований, предъявляемых к качеству услуг ЖКХ, а также формирование культуры потребления услуг ЖКХ.</w:t>
      </w:r>
    </w:p>
    <w:p>
      <w:pPr>
        <w:pStyle w:val="Normal"/>
        <w:spacing w:before="0" w:after="0"/>
        <w:ind w:firstLine="709"/>
        <w:contextualSpacing/>
        <w:jc w:val="both"/>
        <w:rPr>
          <w:rFonts w:eastAsia="Calibri" w:cs="Times New Roman"/>
          <w:sz w:val="28"/>
          <w:szCs w:val="28"/>
          <w:highlight w:val="yellow"/>
        </w:rPr>
      </w:pPr>
      <w:r>
        <w:rPr>
          <w:rFonts w:eastAsia="Calibri" w:cs="Times New Roman"/>
          <w:sz w:val="28"/>
          <w:szCs w:val="28"/>
          <w:highlight w:val="yellow"/>
        </w:rPr>
      </w:r>
    </w:p>
    <w:p>
      <w:pPr>
        <w:pStyle w:val="32"/>
        <w:rPr>
          <w:rFonts w:eastAsia="Calibri"/>
          <w:i w:val="false"/>
          <w:i w:val="false"/>
          <w:highlight w:val="white"/>
        </w:rPr>
      </w:pPr>
      <w:bookmarkStart w:id="64" w:name="_Toc4405029"/>
      <w:r>
        <w:rPr>
          <w:rFonts w:eastAsia="Calibri"/>
          <w:i w:val="false"/>
          <w:shd w:fill="FFFFFF" w:val="clear"/>
        </w:rPr>
        <w:t>2.3.3.1. Тепло-, газоснабжение</w:t>
      </w:r>
      <w:bookmarkEnd w:id="64"/>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В настоящее время часть крупных отопительных котельных, а также небольшие котельные, обслуживающие жилые дома и другие объекты в сельских населенных пунктах, работают на твердом топливе, что приводит к загрязнению окружающей среды. Перевод таких котельных на сетевой природный газ, как более дешёвый, более надёжный, более экологичный вид топлива, позволит сократить количество вредных выбросов в окружающую среду, облегчит обслуживание и сократит эксплуатационные затраты.</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На территории муниципального образования «Тереньгульский район» находятся 32 котельных, из них:</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- 23 газовых (72% от общего количества котельных), в том числе:</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 xml:space="preserve"> </w:t>
      </w:r>
      <w:r>
        <w:rPr>
          <w:rFonts w:eastAsia="Calibri" w:cs="Times New Roman"/>
          <w:spacing w:val="2"/>
          <w:sz w:val="28"/>
          <w:szCs w:val="28"/>
          <w:shd w:fill="FFFFFF" w:val="clear"/>
        </w:rPr>
        <w:t>9 котельных областных, находящихся на обслуживании ОГКП «Корпорация развития коммунального комплекса Ульяновской области» (котельные в р.п. Тереньга № 8,8,9,10,11,12, ГУЗ «Тереньгульская РБ», в селе Солдатская Ташла - ГУЗ «Больница восстановительного лечения кардиологических больных» и в селе Ясашная Ташла - офис врача общей практики);</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14 котельных муниципальных (Тереньгульская, Ясашноташлинская, Скугареевская, Солдатскоташлинская школы, ДШИ, д/с «Солнышко», д/с «Колосок», д/с «Жемчужина», д/с «Зёрнышко», Ясашноташлинский д/с, Подкуровский СДК, Ясашноташлинский СДК, Солдатскоташлинский СДК, КДЦ р.п. Тереньга);</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- 6 угольных котельных, все муниципальные (Красноборская, Зеленецкая, Михайловская, Сосновская, Тумкинская школы, Михайловский СДК);</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- 3 электрических котельных, все муниципальные (Байдулинская школа, д/с «Сказка», д/с ст. Молвино).</w:t>
      </w:r>
    </w:p>
    <w:p>
      <w:pPr>
        <w:pStyle w:val="Normal"/>
        <w:ind w:firstLine="709"/>
        <w:jc w:val="both"/>
        <w:rPr>
          <w:rFonts w:eastAsia="Calibri" w:cs="Times New Roman"/>
          <w:b/>
          <w:b/>
          <w:i/>
          <w:i/>
          <w:spacing w:val="2"/>
          <w:sz w:val="28"/>
          <w:szCs w:val="28"/>
          <w:highlight w:val="white"/>
        </w:rPr>
      </w:pPr>
      <w:r>
        <w:rPr>
          <w:rFonts w:eastAsia="Calibri" w:cs="Times New Roman"/>
          <w:b/>
          <w:i/>
          <w:spacing w:val="2"/>
          <w:sz w:val="28"/>
          <w:szCs w:val="28"/>
          <w:shd w:fill="FFFFFF" w:val="clear"/>
        </w:rPr>
        <w:t>Подцель -</w:t>
      </w:r>
      <w:r>
        <w:rPr>
          <w:rFonts w:eastAsia="Calibri" w:cs="Times New Roman"/>
          <w:spacing w:val="2"/>
          <w:sz w:val="28"/>
          <w:szCs w:val="28"/>
          <w:shd w:fill="FFFFFF" w:val="clear"/>
        </w:rPr>
        <w:t xml:space="preserve"> </w:t>
      </w:r>
      <w:r>
        <w:rPr>
          <w:rFonts w:eastAsia="Calibri" w:cs="Times New Roman"/>
          <w:b/>
          <w:i/>
          <w:spacing w:val="2"/>
          <w:sz w:val="28"/>
          <w:szCs w:val="28"/>
          <w:shd w:fill="FFFFFF" w:val="clear"/>
        </w:rPr>
        <w:t>комплексная модернизация котельных объектов социальной сферы и жилищного фонда путём перевода данных теплоисточников на более дешёвый и экологичный вид топлива.</w:t>
      </w:r>
    </w:p>
    <w:p>
      <w:pPr>
        <w:pStyle w:val="Normal"/>
        <w:ind w:firstLine="709"/>
        <w:jc w:val="both"/>
        <w:rPr>
          <w:rFonts w:eastAsia="Calibri" w:cs="Times New Roman"/>
          <w:b/>
          <w:b/>
          <w:i/>
          <w:i/>
          <w:spacing w:val="2"/>
          <w:sz w:val="28"/>
          <w:szCs w:val="28"/>
          <w:highlight w:val="white"/>
        </w:rPr>
      </w:pPr>
      <w:r>
        <w:rPr>
          <w:rFonts w:eastAsia="Calibri" w:cs="Times New Roman"/>
          <w:b/>
          <w:i/>
          <w:spacing w:val="2"/>
          <w:sz w:val="28"/>
          <w:szCs w:val="28"/>
          <w:highlight w:val="white"/>
        </w:rPr>
      </w:r>
    </w:p>
    <w:p>
      <w:pPr>
        <w:pStyle w:val="Normal"/>
        <w:ind w:firstLine="709"/>
        <w:jc w:val="both"/>
        <w:rPr>
          <w:rFonts w:eastAsia="Calibri" w:cs="Times New Roman"/>
          <w:b/>
          <w:b/>
          <w:i/>
          <w:i/>
          <w:spacing w:val="2"/>
          <w:sz w:val="28"/>
          <w:szCs w:val="28"/>
          <w:highlight w:val="white"/>
        </w:rPr>
      </w:pPr>
      <w:r>
        <w:rPr>
          <w:rFonts w:eastAsia="Calibri" w:cs="Times New Roman"/>
          <w:b/>
          <w:i/>
          <w:spacing w:val="2"/>
          <w:sz w:val="28"/>
          <w:szCs w:val="28"/>
          <w:shd w:fill="FFFFFF" w:val="clear"/>
        </w:rPr>
        <w:t xml:space="preserve">Задачи: </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1. Проведение работ по строительству и реконструкции сетей теплоснабжения, строительство и проведение капитального ремонта объектов теплоснабжения (котельных).</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2. Стимулирование модернизации и внедрения инновационных энерго- и ресурсосберегающих технологий в сфере теплоснабжения.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3. Стимулирование частных инвестиций в жилищно-коммунальную сферу (передача имущества по концессионным соглашениям, иные механизмы муниципально-частного партнерства в ЖКХ). Заключение энергосервисных контрактов с ресурсоснабжающими организациями по переводу котельных, работающих на твёрдом топливе, на природный газ с привлечением средств банков и возвратом за счёт экономии.</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Источники денежных средств:</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средства областного бюджета (государственная программа Ульяновской области «Развитие и модернизация образования Ульяновской области» на 2014-2021 годы» (постановление Правительства Ульяновской области от 11.09.2013 № 37/407-П), Приложение № 2, раздел 1 «Развитие материально-технической базы системы образования»;</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средства муниципального бюджета (муниципальная программа «Содержание и развитие системы образования муниципального образования «Тереньгульский район» на 2019-2021 годы») (заложены мероприятия по развитию инфраструктуры системы образования: приобретение запасов топлива (уголь, дрова);</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внебюджетные источники (средства банков, партийные проекты, конкурсы и гранты).</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Число источников выбросов загрязняющих веществ в атмосферу (единиц) в муниципальном образовании «Тереньгульский район» с 2015 года резко возросло (в 2,4 раза) и продолжает неуклонно расти. И хотя в расчёте на единицу площади населённых пунктов муниципального образования показатель количества выброшенных в атмосферу загрязняющих веществ один из самых низких по области – 0,06 (5 место среди всех муниципальных образований, начиная с наименьшего) (ниже только у Сурского, Старомайнского, Майнского и Вешкаймского районов, являющихся «априори» районами, наименее подверженными экологическому загрязнению), есть резерв снижения этого показателя – за счёт реализации механизма муниципально-частного партнёрства (заключение концессионных соглашений, энергосервисных контрактов по переводу теплоисточников на газовое топливо и прочих механизмов).</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Реализации мероприятий по покрытию потребности в газификации территории для последующего перевода теплоисточников объектов социальной сферы на природный газ, а также снижению объёма вредных выбросов в атмосферу способствуют мероприятия, заложенные в программу ПАО «Газпром», в рамках которых на территории Тереньгульского района до 2020 года включительно предусмотрено строительство 5 межпоселковых газопроводов:</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от ГРС р.п. Тереньга – с. Тускино – с. Назайкино – с. Красноборск с ответвлением на с. Федькино, с. Байдулино Тереньгульского района Ульяновской области (</w:t>
      </w:r>
      <w:r>
        <w:rPr>
          <w:rFonts w:eastAsia="Calibri" w:cs="Times New Roman"/>
          <w:spacing w:val="2"/>
          <w:sz w:val="28"/>
          <w:szCs w:val="28"/>
          <w:shd w:fill="FFFFFF" w:val="clear"/>
          <w:lang w:val="en-US"/>
        </w:rPr>
        <w:t>II</w:t>
      </w:r>
      <w:r>
        <w:rPr>
          <w:rFonts w:eastAsia="Calibri" w:cs="Times New Roman"/>
          <w:spacing w:val="2"/>
          <w:sz w:val="28"/>
          <w:szCs w:val="28"/>
          <w:shd w:fill="FFFFFF" w:val="clear"/>
        </w:rPr>
        <w:t xml:space="preserve"> очередь строительства),</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 Красноборск – с. Зеленец, хутор Риновский – с. Риновка – с. Суровка Тереньгульского района Ульяновской области,</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р.п. Тереньга – с. Гавриловка с ответвлением на с. Гладчиха Тереньгульского района Ульяновской области,</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 Гавриловка – с. Елшанка – с. Белогорское – с. Сосновка – с ответвлением на с. Михайловка – с . Калиновка, д. Скрипино Тереньгульского района Ульяновской области,</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 Безводовка – с. Малая Борла Кузоватовского района – с. Большая Борла Тереньгульского района.</w:t>
      </w:r>
    </w:p>
    <w:p>
      <w:pPr>
        <w:pStyle w:val="Normal"/>
        <w:tabs>
          <w:tab w:val="clear" w:pos="708"/>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highlight w:val="white"/>
        </w:rPr>
      </w:r>
    </w:p>
    <w:p>
      <w:pPr>
        <w:pStyle w:val="32"/>
        <w:rPr>
          <w:rFonts w:eastAsia="Calibri"/>
          <w:i w:val="false"/>
          <w:i w:val="false"/>
          <w:highlight w:val="white"/>
        </w:rPr>
      </w:pPr>
      <w:bookmarkStart w:id="65" w:name="_Toc4405030"/>
      <w:r>
        <w:rPr>
          <w:rFonts w:eastAsia="Calibri"/>
          <w:i w:val="false"/>
          <w:shd w:fill="FFFFFF" w:val="clear"/>
        </w:rPr>
        <w:t>2.3.3.2. Электроснабжение (энергосбережение)</w:t>
      </w:r>
      <w:bookmarkEnd w:id="65"/>
    </w:p>
    <w:p>
      <w:pPr>
        <w:pStyle w:val="Normal"/>
        <w:ind w:firstLine="709"/>
        <w:jc w:val="both"/>
        <w:rPr>
          <w:rFonts w:eastAsia="Calibri" w:cs="Times New Roman"/>
          <w:spacing w:val="2"/>
          <w:sz w:val="28"/>
          <w:szCs w:val="28"/>
          <w:highlight w:val="white"/>
        </w:rPr>
      </w:pPr>
      <w:r>
        <w:rPr>
          <w:rFonts w:eastAsia="Calibri" w:cs="Times New Roman"/>
          <w:b/>
          <w:i/>
          <w:spacing w:val="2"/>
          <w:sz w:val="28"/>
          <w:szCs w:val="28"/>
          <w:shd w:fill="FFFFFF" w:val="clear"/>
        </w:rPr>
        <w:t>Подцель -</w:t>
      </w:r>
      <w:r>
        <w:rPr>
          <w:rFonts w:eastAsia="Calibri" w:cs="Times New Roman"/>
          <w:spacing w:val="2"/>
          <w:sz w:val="28"/>
          <w:szCs w:val="28"/>
          <w:shd w:fill="FFFFFF" w:val="clear"/>
        </w:rPr>
        <w:t xml:space="preserve"> </w:t>
      </w:r>
      <w:r>
        <w:rPr>
          <w:rFonts w:eastAsia="Calibri" w:cs="Times New Roman"/>
          <w:b/>
          <w:i/>
          <w:spacing w:val="2"/>
          <w:sz w:val="28"/>
          <w:szCs w:val="28"/>
          <w:shd w:fill="FFFFFF" w:val="clear"/>
        </w:rPr>
        <w:t>формирование целостной и эффективной системы управления энергосбережением и повышение энергетической эффективности, обеспечивающей снижение отношения потребления топливно-энергетических ресурсов Тереньгульского района.</w:t>
      </w:r>
    </w:p>
    <w:p>
      <w:pPr>
        <w:pStyle w:val="Normal"/>
        <w:ind w:firstLine="709"/>
        <w:jc w:val="both"/>
        <w:rPr>
          <w:rFonts w:eastAsia="Calibri" w:cs="Times New Roman"/>
          <w:b/>
          <w:b/>
          <w:spacing w:val="2"/>
          <w:sz w:val="28"/>
          <w:szCs w:val="28"/>
          <w:highlight w:val="white"/>
        </w:rPr>
      </w:pPr>
      <w:r>
        <w:rPr>
          <w:rFonts w:eastAsia="Calibri" w:cs="Times New Roman"/>
          <w:b/>
          <w:spacing w:val="2"/>
          <w:sz w:val="28"/>
          <w:szCs w:val="28"/>
          <w:shd w:fill="FFFFFF" w:val="clear"/>
        </w:rPr>
        <w:t>Задачи:</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1. Ремонт и модернизация тепловых сетей и уличного освещения.</w:t>
      </w:r>
    </w:p>
    <w:p>
      <w:pPr>
        <w:pStyle w:val="Normal"/>
        <w:ind w:firstLine="709"/>
        <w:jc w:val="both"/>
        <w:rPr>
          <w:rFonts w:eastAsia="Calibri" w:cs="Times New Roman"/>
          <w:sz w:val="28"/>
          <w:szCs w:val="28"/>
        </w:rPr>
      </w:pPr>
      <w:r>
        <w:rPr>
          <w:rFonts w:eastAsia="Calibri" w:cs="Times New Roman"/>
          <w:sz w:val="28"/>
          <w:szCs w:val="28"/>
        </w:rPr>
        <w:t>2. Обеспечение согласованного развития электрической сети.</w:t>
      </w:r>
    </w:p>
    <w:p>
      <w:pPr>
        <w:pStyle w:val="Normal"/>
        <w:ind w:firstLine="709"/>
        <w:jc w:val="both"/>
        <w:rPr>
          <w:rFonts w:eastAsia="Calibri" w:cs="Times New Roman"/>
          <w:sz w:val="28"/>
          <w:szCs w:val="28"/>
        </w:rPr>
      </w:pPr>
      <w:r>
        <w:rPr>
          <w:rFonts w:eastAsia="Calibri" w:cs="Times New Roman"/>
          <w:sz w:val="28"/>
          <w:szCs w:val="28"/>
        </w:rPr>
        <w:t>3. Проведение мероприятий, направленных на снижение потерь электрической энергии, модернизацию и повышение энергетической эффективности объектов жилищно-коммунального хозяйства.</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Источники средств: средства муниципального бюджета (муниципальная программа «Энергосбережение и повышение энергетической эффективности на территории муниципального образования «Тереньгульский район» на 2019-2021 годы»).</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В рамках реализации мероприятий по ремонту и модернизации тепловых сетей и уличного освещения необходимо:</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1) применение энергосберегающих технологий в уличном освещении (замена ламп накаливания уличного освещения на энергосберегающие лампы), в том числе:</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 xml:space="preserve"> </w:t>
      </w:r>
      <w:r>
        <w:rPr>
          <w:rFonts w:eastAsia="Calibri" w:cs="Times New Roman"/>
          <w:spacing w:val="2"/>
          <w:sz w:val="28"/>
          <w:szCs w:val="28"/>
          <w:shd w:fill="FFFFFF" w:val="clear"/>
        </w:rPr>
        <w:t>- организация финансирования энергосервисного контракта по модернизации уличного освещения р.п. Тереньга: проведение обследования системы уличного освещения с разработкой технико-экономического обоснования модернизации в р.п. Тереньга; заключение энергосервисного контракта; выполнение работ по модернизации системы уличного освещения;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 модернизация уличного освещения с. Солдатская Ташла: проведение обследования системы уличного освещения; выполнение работ по модернизации системы уличного освещения с установкой дополнительного ПУ в администрации поселения;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2) повышение энергетической безопасности и качества снабжения потребителей энергетическими ресурсами.</w:t>
      </w:r>
    </w:p>
    <w:p>
      <w:pPr>
        <w:pStyle w:val="Normal"/>
        <w:tabs>
          <w:tab w:val="clear" w:pos="708"/>
          <w:tab w:val="left" w:pos="0" w:leader="none"/>
          <w:tab w:val="left" w:pos="284" w:leader="none"/>
        </w:tabs>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highlight w:val="white"/>
        </w:rPr>
      </w:r>
    </w:p>
    <w:p>
      <w:pPr>
        <w:pStyle w:val="32"/>
        <w:rPr>
          <w:rFonts w:eastAsia="Calibri"/>
          <w:i w:val="false"/>
          <w:i w:val="false"/>
          <w:highlight w:val="white"/>
        </w:rPr>
      </w:pPr>
      <w:bookmarkStart w:id="66" w:name="_Toc4405031"/>
      <w:r>
        <w:rPr>
          <w:rFonts w:eastAsia="Calibri"/>
          <w:i w:val="false"/>
          <w:shd w:fill="FFFFFF" w:val="clear"/>
        </w:rPr>
        <w:t>2.3.3.3. Водоснабжение</w:t>
      </w:r>
      <w:bookmarkEnd w:id="66"/>
    </w:p>
    <w:p>
      <w:pPr>
        <w:pStyle w:val="Normal"/>
        <w:ind w:firstLine="709"/>
        <w:jc w:val="both"/>
        <w:rPr>
          <w:rFonts w:eastAsia="Calibri" w:cs="Times New Roman"/>
          <w:b/>
          <w:b/>
          <w:i/>
          <w:i/>
          <w:spacing w:val="2"/>
          <w:sz w:val="28"/>
          <w:szCs w:val="28"/>
          <w:highlight w:val="white"/>
        </w:rPr>
      </w:pPr>
      <w:r>
        <w:rPr>
          <w:rFonts w:eastAsia="Calibri" w:cs="Times New Roman"/>
          <w:b/>
          <w:i/>
          <w:spacing w:val="2"/>
          <w:sz w:val="28"/>
          <w:szCs w:val="28"/>
          <w:shd w:fill="FFFFFF" w:val="clear"/>
        </w:rPr>
        <w:t>Подцель - повышение уровня жизни населения и качества предоставления коммунальной услуги (водоснабжение) за счёт ремонта, строительства и реконструкции систем водоснабжения.</w:t>
      </w:r>
    </w:p>
    <w:p>
      <w:pPr>
        <w:pStyle w:val="Normal"/>
        <w:ind w:firstLine="709"/>
        <w:jc w:val="both"/>
        <w:rPr>
          <w:rFonts w:eastAsia="Calibri" w:cs="Times New Roman"/>
          <w:b/>
          <w:b/>
          <w:spacing w:val="2"/>
          <w:sz w:val="28"/>
          <w:szCs w:val="28"/>
          <w:highlight w:val="white"/>
        </w:rPr>
      </w:pPr>
      <w:r>
        <w:rPr>
          <w:rFonts w:eastAsia="Calibri" w:cs="Times New Roman"/>
          <w:b/>
          <w:spacing w:val="2"/>
          <w:sz w:val="28"/>
          <w:szCs w:val="28"/>
          <w:shd w:fill="FFFFFF" w:val="clear"/>
        </w:rPr>
        <w:t>Задачи:</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xml:space="preserve">1. Обеспечение населения доброкачественной питьевой водой посредством проведения работ по строительству и реконструкции систем водоснабжения и водоотведения, проведения капитального ремонта коммунальных объектов водоочистных сооружений, артезианских скважин), в частности:  модернизация системы водоснабжения с. Солдатская Ташла: </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xml:space="preserve">- проведение обследования системы водопроводной сети; </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xml:space="preserve">- замена и ремонт оборудования системы водопроводной сети с целью нормализации подачи водоснабжения; </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строительство водопроводных колодцев в целях обеспечения своевременного устранения нештатных ситуаций на водопроводной сети и нормализации подачи водоснабжения;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2. Активизация работы по принятию на обслуживание объектов водоснабжения Тереньгульского района на баланс ОГКП «Ульяновский областной водоканал». Совместно с гарантирующей организацией для централизованной системы водоснабжения - определение первоочередных мероприятий по ремонту имеющихся объектов водоснабжения.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Источники средств:</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 xml:space="preserve">средства муниципального бюджета, заложенные в муниципальной программе «Развитие жилищно-коммунального хозяйства в муниципальном образовании «Тереньгульский район» на 2019-2020 годы» (постановление администрации муниципального образования «Тереньгульский район» </w:t>
        <w:br/>
        <w:t>от 16.08.2018 № 374 «Об утверждении муниципальной программы «Развитие жилищно-коммунального хозяйства в муниципальном образовании «Тереньгульский район» на 2019-2020 годы»</w:t>
      </w:r>
      <w:r>
        <w:rPr>
          <w:rFonts w:eastAsia="Calibri" w:cs="Times New Roman"/>
          <w:spacing w:val="2"/>
          <w:shd w:fill="FFFFFF" w:val="clear"/>
        </w:rPr>
        <w:t>)</w:t>
      </w:r>
      <w:r>
        <w:rPr>
          <w:rFonts w:eastAsia="Calibri" w:cs="Times New Roman"/>
          <w:spacing w:val="2"/>
          <w:sz w:val="28"/>
          <w:szCs w:val="28"/>
          <w:shd w:fill="FFFFFF" w:val="clear"/>
        </w:rPr>
        <w:t>.</w:t>
      </w:r>
    </w:p>
    <w:p>
      <w:pPr>
        <w:pStyle w:val="Normal"/>
        <w:ind w:firstLine="709"/>
        <w:jc w:val="both"/>
        <w:rPr>
          <w:rFonts w:eastAsia="Calibri" w:cs="Times New Roman"/>
          <w:spacing w:val="2"/>
          <w:sz w:val="28"/>
          <w:szCs w:val="28"/>
          <w:highlight w:val="white"/>
        </w:rPr>
      </w:pPr>
      <w:r>
        <w:rPr>
          <w:rFonts w:eastAsia="Calibri" w:cs="Times New Roman"/>
          <w:spacing w:val="2"/>
          <w:sz w:val="28"/>
          <w:szCs w:val="28"/>
          <w:highlight w:val="white"/>
        </w:rPr>
      </w:r>
    </w:p>
    <w:p>
      <w:pPr>
        <w:pStyle w:val="Normal"/>
        <w:rPr/>
      </w:pPr>
      <w:bookmarkStart w:id="67" w:name="_Toc4405032"/>
      <w:r>
        <w:rPr>
          <w:rFonts w:eastAsia="Calibri"/>
        </w:rPr>
        <w:t>2.3.4. Обеспечение безопасности жизнедеятельности, в том числе экологической безопасности</w:t>
      </w:r>
      <w:bookmarkEnd w:id="67"/>
    </w:p>
    <w:p>
      <w:pPr>
        <w:pStyle w:val="Normal"/>
        <w:spacing w:before="0" w:after="0"/>
        <w:ind w:firstLine="709"/>
        <w:contextualSpacing/>
        <w:jc w:val="both"/>
        <w:rPr>
          <w:rFonts w:eastAsia="Calibri" w:cs="Times New Roman"/>
          <w:sz w:val="28"/>
          <w:szCs w:val="28"/>
        </w:rPr>
      </w:pPr>
      <w:r>
        <w:rPr>
          <w:rFonts w:eastAsia="Calibri" w:cs="Times New Roman"/>
          <w:sz w:val="28"/>
          <w:szCs w:val="28"/>
        </w:rPr>
        <w:t>Вопросы, связанные с обеспечением правопорядка и безопасности жизнедеятельности, входят в десятку наиболее приоритетных задач социально-экономического развития Тереньгульского района.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Подцели:</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снизить уровень преступности в 1,5 раза к 2030 году;</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снизить уровень распространенности болезней патологической зависимости в 2 раза к 2030 году;</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снизить количество граждан пострадавших и погибших </w:t>
        <w:br/>
        <w:t>в результате пожаров в 2 раза к 2030 году;</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ликвидация несанкционированных свалок на территории района, повышение эффективности обращения с отходами производства и потребления;</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недопущение роста загрязнённости атмосферного воздуха </w:t>
        <w:br/>
        <w:t>по сравнению с показателями 2017 года.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af1"/>
        <w:tblW w:w="9606" w:type="dxa"/>
        <w:jc w:val="left"/>
        <w:tblInd w:w="108" w:type="dxa"/>
        <w:tblCellMar>
          <w:top w:w="0" w:type="dxa"/>
          <w:left w:w="108" w:type="dxa"/>
          <w:bottom w:w="0" w:type="dxa"/>
          <w:right w:w="108" w:type="dxa"/>
        </w:tblCellMar>
        <w:tblLook w:noVBand="1" w:val="04a0" w:noHBand="0" w:lastColumn="0" w:firstColumn="1" w:lastRow="0" w:firstRow="1"/>
      </w:tblPr>
      <w:tblGrid>
        <w:gridCol w:w="5232"/>
        <w:gridCol w:w="1288"/>
        <w:gridCol w:w="1134"/>
        <w:gridCol w:w="992"/>
        <w:gridCol w:w="960"/>
      </w:tblGrid>
      <w:tr>
        <w:trPr/>
        <w:tc>
          <w:tcPr>
            <w:tcW w:w="5232"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Число зарегистрированных преступлений на 10000 населения</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122,3</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105,4</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92,7</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81,5</w:t>
            </w:r>
          </w:p>
        </w:tc>
      </w:tr>
      <w:tr>
        <w:trPr/>
        <w:tc>
          <w:tcPr>
            <w:tcW w:w="5232" w:type="dxa"/>
            <w:tcBorders/>
            <w:shd w:fill="auto" w:val="clear"/>
          </w:tcPr>
          <w:p>
            <w:pPr>
              <w:pStyle w:val="Normal"/>
              <w:spacing w:lineRule="auto" w:line="240" w:before="0" w:after="0"/>
              <w:rPr>
                <w:rFonts w:eastAsia="Calibri" w:cs="Times New Roman"/>
              </w:rPr>
            </w:pPr>
            <w:r>
              <w:rPr>
                <w:rFonts w:eastAsia="Calibri" w:cs="Times New Roman"/>
              </w:rPr>
              <w:t>Число больных алкоголизмом и алкогольными психозами, чел.</w:t>
            </w:r>
          </w:p>
        </w:tc>
        <w:tc>
          <w:tcPr>
            <w:tcW w:w="1288" w:type="dxa"/>
            <w:tcBorders/>
            <w:shd w:fill="auto" w:val="clear"/>
          </w:tcPr>
          <w:p>
            <w:pPr>
              <w:pStyle w:val="Normal"/>
              <w:spacing w:lineRule="auto" w:line="240" w:before="0" w:after="0"/>
              <w:jc w:val="center"/>
              <w:rPr>
                <w:rFonts w:eastAsia="Calibri" w:cs="Times New Roman"/>
              </w:rPr>
            </w:pPr>
            <w:r>
              <w:rPr>
                <w:rFonts w:eastAsia="Calibri" w:cs="Times New Roman"/>
              </w:rPr>
              <w:t>187</w:t>
            </w:r>
          </w:p>
        </w:tc>
        <w:tc>
          <w:tcPr>
            <w:tcW w:w="1134"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141</w:t>
            </w:r>
          </w:p>
        </w:tc>
        <w:tc>
          <w:tcPr>
            <w:tcW w:w="992"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113</w:t>
            </w:r>
          </w:p>
        </w:tc>
        <w:tc>
          <w:tcPr>
            <w:tcW w:w="960"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94</w:t>
            </w:r>
          </w:p>
        </w:tc>
      </w:tr>
      <w:tr>
        <w:trPr/>
        <w:tc>
          <w:tcPr>
            <w:tcW w:w="5232" w:type="dxa"/>
            <w:tcBorders/>
            <w:shd w:fill="auto" w:val="clear"/>
          </w:tcPr>
          <w:p>
            <w:pPr>
              <w:pStyle w:val="Normal"/>
              <w:spacing w:lineRule="auto" w:line="240" w:before="0" w:after="0"/>
              <w:rPr>
                <w:rFonts w:eastAsia="Calibri" w:cs="Times New Roman"/>
              </w:rPr>
            </w:pPr>
            <w:r>
              <w:rPr>
                <w:rFonts w:eastAsia="Calibri" w:cs="Times New Roman"/>
              </w:rPr>
              <w:t>Число больных наркоманией, человек</w:t>
            </w:r>
          </w:p>
        </w:tc>
        <w:tc>
          <w:tcPr>
            <w:tcW w:w="1288" w:type="dxa"/>
            <w:tcBorders/>
            <w:shd w:fill="auto" w:val="clear"/>
          </w:tcPr>
          <w:p>
            <w:pPr>
              <w:pStyle w:val="Normal"/>
              <w:spacing w:lineRule="auto" w:line="240" w:before="0" w:after="0"/>
              <w:jc w:val="center"/>
              <w:rPr>
                <w:rFonts w:eastAsia="Calibri" w:cs="Times New Roman"/>
              </w:rPr>
            </w:pPr>
            <w:r>
              <w:rPr>
                <w:rFonts w:eastAsia="Calibri" w:cs="Times New Roman"/>
              </w:rPr>
              <w:t>13</w:t>
            </w:r>
          </w:p>
        </w:tc>
        <w:tc>
          <w:tcPr>
            <w:tcW w:w="1134"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992"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8</w:t>
            </w:r>
          </w:p>
        </w:tc>
        <w:tc>
          <w:tcPr>
            <w:tcW w:w="960"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6</w:t>
            </w:r>
          </w:p>
        </w:tc>
      </w:tr>
      <w:tr>
        <w:trPr/>
        <w:tc>
          <w:tcPr>
            <w:tcW w:w="5232" w:type="dxa"/>
            <w:tcBorders/>
            <w:shd w:fill="auto" w:val="clear"/>
          </w:tcPr>
          <w:p>
            <w:pPr>
              <w:pStyle w:val="Normal"/>
              <w:spacing w:lineRule="auto" w:line="240" w:before="0" w:after="0"/>
              <w:rPr>
                <w:rFonts w:eastAsia="Calibri" w:cs="Times New Roman"/>
              </w:rPr>
            </w:pPr>
            <w:r>
              <w:rPr>
                <w:rFonts w:eastAsia="Calibri" w:cs="Times New Roman"/>
              </w:rPr>
              <w:t>Число больных токсикоманией, человек</w:t>
            </w:r>
          </w:p>
        </w:tc>
        <w:tc>
          <w:tcPr>
            <w:tcW w:w="1288" w:type="dxa"/>
            <w:tcBorders/>
            <w:shd w:fill="auto" w:val="clear"/>
          </w:tcPr>
          <w:p>
            <w:pPr>
              <w:pStyle w:val="Normal"/>
              <w:spacing w:lineRule="auto" w:line="240" w:before="0" w:after="0"/>
              <w:jc w:val="center"/>
              <w:rPr>
                <w:rFonts w:eastAsia="Calibri" w:cs="Times New Roman"/>
              </w:rPr>
            </w:pPr>
            <w:r>
              <w:rPr>
                <w:rFonts w:eastAsia="Calibri" w:cs="Times New Roman"/>
              </w:rPr>
              <w:t>1</w:t>
            </w:r>
          </w:p>
        </w:tc>
        <w:tc>
          <w:tcPr>
            <w:tcW w:w="1134"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0</w:t>
            </w:r>
          </w:p>
        </w:tc>
        <w:tc>
          <w:tcPr>
            <w:tcW w:w="992"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0</w:t>
            </w:r>
          </w:p>
        </w:tc>
        <w:tc>
          <w:tcPr>
            <w:tcW w:w="960"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0</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Число пострадавших в результате пожаров, чел.</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4</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3</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Число погибших в результате пожаров, чел.</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Выбросы загрязняющих веществ в атмосферный воздух, тонн</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106</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106</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106</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106</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Доля использованных и обезвреженных отходов в общем объёме образовавшихся отходов</w:t>
            </w:r>
          </w:p>
          <w:p>
            <w:pPr>
              <w:pStyle w:val="Normal"/>
              <w:spacing w:lineRule="auto" w:line="240" w:before="0" w:after="0"/>
              <w:ind w:hanging="11"/>
              <w:contextualSpacing/>
              <w:rPr>
                <w:rFonts w:eastAsia="Calibri" w:cs="Times New Roman"/>
              </w:rPr>
            </w:pPr>
            <w:r>
              <w:rPr>
                <w:rFonts w:eastAsia="Calibri" w:cs="Times New Roman"/>
              </w:rPr>
              <w:t xml:space="preserve"> </w:t>
            </w:r>
            <w:r>
              <w:rPr>
                <w:rFonts w:eastAsia="Calibri" w:cs="Times New Roman"/>
              </w:rPr>
              <w:t>в процессе производства и потребления, %</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н/д</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20</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50</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 xml:space="preserve">Количество несанкционированных свалок, ед. </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22</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17</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w:t>
            </w:r>
          </w:p>
        </w:tc>
      </w:tr>
    </w:tbl>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Normal"/>
        <w:spacing w:before="0" w:after="0"/>
        <w:ind w:firstLine="709"/>
        <w:contextualSpacing/>
        <w:jc w:val="both"/>
        <w:rPr>
          <w:rFonts w:eastAsia="Calibri" w:cs="Times New Roman"/>
          <w:sz w:val="28"/>
          <w:szCs w:val="28"/>
        </w:rPr>
      </w:pPr>
      <w:r>
        <w:rPr>
          <w:rFonts w:eastAsia="Calibri" w:cs="Times New Roman"/>
          <w:sz w:val="28"/>
          <w:szCs w:val="28"/>
        </w:rPr>
        <w:t>Ключевыми направлениями в этой работе являются повышение уровня защищенности граждан от преступных посягательств и иных угроз их жизни и здоровью, а также снижение потерь человеческого, природного и экономического потенциала путем концентрации материальных и финансовых ресурсов на создании условий безопасной жизнедеятельности населения.</w:t>
      </w:r>
    </w:p>
    <w:p>
      <w:pPr>
        <w:pStyle w:val="Normal"/>
        <w:spacing w:before="0" w:after="0"/>
        <w:ind w:firstLine="709"/>
        <w:contextualSpacing/>
        <w:jc w:val="both"/>
        <w:rPr>
          <w:rFonts w:eastAsia="Calibri" w:cs="Times New Roman"/>
          <w:sz w:val="28"/>
          <w:szCs w:val="28"/>
        </w:rPr>
      </w:pPr>
      <w:r>
        <w:rPr>
          <w:rFonts w:eastAsia="Calibri" w:cs="Times New Roman"/>
          <w:b/>
          <w:sz w:val="28"/>
          <w:szCs w:val="28"/>
        </w:rPr>
        <w:t>Экологическая обстановка</w:t>
      </w:r>
      <w:r>
        <w:rPr>
          <w:rFonts w:eastAsia="Calibri" w:cs="Times New Roman"/>
          <w:sz w:val="28"/>
          <w:szCs w:val="28"/>
        </w:rPr>
        <w:t xml:space="preserve"> на территории Тереньгульского района характеризуется как благоприятная. Проблемными вопросами в части экологической безопасности Тереньгульского района  являются: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наличие мест несанкционированного складирования отходов;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отсутствие системы улавливания и обезвреживания загрязняющих веществ.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Доля бюджетных средств, предусмотренная на систему обращения с отходами, крайне мала. С 01.01.2019 территории Тереньгульского района входит в зону обслуживания регионального оператора ООО «Контракт-плюс». На территории района расположено 39 контейнерных площадок, 220 контейнеров.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Несмотря на то, что число источников выбросов загрязняющих веществ в атмосферный воздух в районе невелико (0,76% от общего числа источников в Ульяновской области), их число с каждым годом растёт: 2013 год – 21, 2015 год – 100, 2017 год – 104, также как и объёмы выбросов загрязняющих веществ в атмосферный воздух: 2013 год – 66 тонн, 2015 год – 90 тонн, 2017 год – 106 тонн (0,3% об выбросов в Ульяновской области). При этом поступает на очистные сооружения, улавливается и обезвреживается 0 тонн.</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Подцели, направленные на совершенствование системы обращения с отходами производства и потребления и борьбу с загрязнением атмосферного воздуха, полностью соотносятся с целями, обозначенными в национальном проекте «Экология». </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numPr>
          <w:ilvl w:val="0"/>
          <w:numId w:val="8"/>
        </w:numPr>
        <w:suppressAutoHyphens w:val="false"/>
        <w:spacing w:before="0" w:after="0"/>
        <w:contextualSpacing/>
        <w:jc w:val="both"/>
        <w:rPr>
          <w:rFonts w:eastAsia="Calibri" w:cs="Times New Roman"/>
          <w:spacing w:val="-2"/>
          <w:sz w:val="28"/>
          <w:szCs w:val="28"/>
        </w:rPr>
      </w:pPr>
      <w:r>
        <w:rPr>
          <w:rFonts w:eastAsia="Calibri" w:cs="Times New Roman"/>
          <w:spacing w:val="-2"/>
          <w:sz w:val="28"/>
          <w:szCs w:val="28"/>
        </w:rPr>
        <w:t>Вовлечение населения в деятельность по охране общественного порядка.</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Организация просветительской и пропагандистской деятельности, направленной на профилактику правонарушений.</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Развитие профилактической антинаркотической деятельности.</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Противодействие распространению наркомании, токсикомании, алкоголизма.</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Обеспечение пожарной безопасности всех населенных пунктов и лесных зон Тереньгульского района.</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Ликвидация мест несанкционированного размещения отходов производства и потребления.</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Формированию экологической культуры, ответственного, экономного отношения населения к использованию природных ресурсов и решению экологических проблем:</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совместно с контрольно-надзорными органами осуществление контроля (в ом числе общественного) за деятельностью по очистке загрязняющих веществ, выполнению экологического законодательства хозяйствующими субъектами;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внедрение системы раздельного сбора мусора от населения на территории муниципального образования;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проведение широкой информационно-просветительской работы с населением (круглые столы, семинары, субботники) с участием представителей бизнеса, трудовых коллективов, обучающихся образовательных организаций по бережному использованию ресурсов и переработке и использованию отходов производства и потребления. </w:t>
      </w:r>
    </w:p>
    <w:p>
      <w:pPr>
        <w:pStyle w:val="Normal"/>
        <w:suppressAutoHyphens w:val="false"/>
        <w:spacing w:lineRule="auto" w:line="276" w:before="0" w:after="200"/>
        <w:rPr>
          <w:rFonts w:eastAsia="Calibri" w:cs="Times New Roman"/>
          <w:sz w:val="28"/>
          <w:szCs w:val="28"/>
        </w:rPr>
      </w:pPr>
      <w:r>
        <w:rPr>
          <w:rFonts w:eastAsia="Calibri" w:cs="Times New Roman"/>
          <w:sz w:val="28"/>
          <w:szCs w:val="28"/>
        </w:rPr>
      </w:r>
      <w:r>
        <w:br w:type="page"/>
      </w:r>
    </w:p>
    <w:p>
      <w:pPr>
        <w:pStyle w:val="01"/>
        <w:rPr/>
      </w:pPr>
      <w:bookmarkStart w:id="68" w:name="_Toc4405033"/>
      <w:r>
        <w:rPr/>
        <w:t>3. СИСТЕМА УПРАВЛЕНИЯ И МОНИТОРИНГА РЕАЛИЗАЦИИ СТРАТЕГИИ</w:t>
      </w:r>
      <w:bookmarkEnd w:id="68"/>
    </w:p>
    <w:p>
      <w:pPr>
        <w:pStyle w:val="01"/>
        <w:rPr/>
      </w:pPr>
      <w:r>
        <w:rPr/>
      </w:r>
    </w:p>
    <w:p>
      <w:pPr>
        <w:pStyle w:val="NormalWeb"/>
        <w:spacing w:beforeAutospacing="0" w:before="0" w:afterAutospacing="0" w:after="0"/>
        <w:ind w:firstLine="709"/>
        <w:jc w:val="both"/>
        <w:rPr>
          <w:color w:val="000000"/>
          <w:sz w:val="28"/>
          <w:szCs w:val="28"/>
        </w:rPr>
      </w:pPr>
      <w:r>
        <w:rPr>
          <w:color w:val="000000"/>
          <w:sz w:val="28"/>
          <w:szCs w:val="28"/>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муниципального образования «Тереньгульский район», применяемых органами местного самоуправления муниципального образования «Тереньгульский район» для достижения стратегических целей.</w:t>
      </w:r>
    </w:p>
    <w:p>
      <w:pPr>
        <w:pStyle w:val="NormalWeb"/>
        <w:spacing w:beforeAutospacing="0" w:before="0" w:afterAutospacing="0" w:after="0"/>
        <w:ind w:firstLine="709"/>
        <w:jc w:val="both"/>
        <w:rPr>
          <w:color w:val="000000"/>
          <w:sz w:val="28"/>
          <w:szCs w:val="28"/>
        </w:rPr>
      </w:pPr>
      <w:r>
        <w:rPr>
          <w:color w:val="000000"/>
          <w:sz w:val="28"/>
          <w:szCs w:val="28"/>
        </w:rPr>
        <w:t>В основу механизмов реализации Стратегии заложены ключевые принципы:</w:t>
      </w:r>
    </w:p>
    <w:p>
      <w:pPr>
        <w:pStyle w:val="NormalWeb"/>
        <w:spacing w:beforeAutospacing="0" w:before="0" w:afterAutospacing="0" w:after="0"/>
        <w:ind w:firstLine="709"/>
        <w:jc w:val="both"/>
        <w:rPr>
          <w:color w:val="000000"/>
          <w:sz w:val="28"/>
          <w:szCs w:val="28"/>
        </w:rPr>
      </w:pPr>
      <w:r>
        <w:rPr>
          <w:color w:val="000000"/>
          <w:sz w:val="28"/>
          <w:szCs w:val="28"/>
        </w:rPr>
        <w:t>целеполагания – любое управленческое воздействие на процесс реализации Стратегии должно способствовать достижению поставленных в ней целей и задач;</w:t>
      </w:r>
    </w:p>
    <w:p>
      <w:pPr>
        <w:pStyle w:val="NormalWeb"/>
        <w:spacing w:beforeAutospacing="0" w:before="0" w:afterAutospacing="0" w:after="0"/>
        <w:ind w:firstLine="709"/>
        <w:jc w:val="both"/>
        <w:rPr>
          <w:color w:val="000000"/>
          <w:sz w:val="28"/>
          <w:szCs w:val="28"/>
        </w:rPr>
      </w:pPr>
      <w:r>
        <w:rPr>
          <w:color w:val="000000"/>
          <w:sz w:val="28"/>
          <w:szCs w:val="28"/>
        </w:rPr>
        <w:t>муниципально-частного партнерства – реализация Стратегии предполагает устойчивое взаимовыгодное развитие партнерских отношений муниципалитета и предпринимательских структур на условиях чёткого разделения компетенций, рисков и ответственности;</w:t>
      </w:r>
    </w:p>
    <w:p>
      <w:pPr>
        <w:pStyle w:val="NormalWeb"/>
        <w:spacing w:beforeAutospacing="0" w:before="0" w:afterAutospacing="0" w:after="0"/>
        <w:ind w:firstLine="709"/>
        <w:jc w:val="both"/>
        <w:rPr>
          <w:color w:val="000000"/>
          <w:sz w:val="28"/>
          <w:szCs w:val="28"/>
        </w:rPr>
      </w:pPr>
      <w:r>
        <w:rPr>
          <w:color w:val="000000"/>
          <w:sz w:val="28"/>
          <w:szCs w:val="28"/>
        </w:rPr>
        <w:t>иерархичности – поставленные стратегические цели, задачи, реализация приоритетных направлений Стратегии будут осуществляться поэтапно и на всех уровнях управления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pPr>
        <w:pStyle w:val="NormalWeb"/>
        <w:spacing w:beforeAutospacing="0" w:before="0" w:afterAutospacing="0" w:after="0"/>
        <w:ind w:firstLine="709"/>
        <w:jc w:val="both"/>
        <w:rPr>
          <w:color w:val="000000"/>
          <w:sz w:val="28"/>
          <w:szCs w:val="28"/>
        </w:rPr>
      </w:pPr>
      <w:r>
        <w:rPr>
          <w:color w:val="000000"/>
          <w:sz w:val="28"/>
          <w:szCs w:val="28"/>
        </w:rPr>
        <w:t>Достижение целей, поставленных в Стратегии, сопряжено с использованием программно-целевого подхода и проектного управления.</w:t>
      </w:r>
    </w:p>
    <w:p>
      <w:pPr>
        <w:pStyle w:val="NormalWeb"/>
        <w:spacing w:beforeAutospacing="0" w:before="0" w:afterAutospacing="0" w:after="0"/>
        <w:ind w:firstLine="709"/>
        <w:jc w:val="both"/>
        <w:rPr>
          <w:color w:val="000000"/>
          <w:sz w:val="28"/>
          <w:szCs w:val="28"/>
        </w:rPr>
      </w:pPr>
      <w:r>
        <w:rPr>
          <w:color w:val="000000"/>
          <w:sz w:val="28"/>
          <w:szCs w:val="28"/>
        </w:rPr>
        <w:t>Основным инструментом реализации Стратегии являются муниципальные программы муниципального образования «Тереньгульский район».</w:t>
      </w:r>
    </w:p>
    <w:p>
      <w:pPr>
        <w:pStyle w:val="NormalWeb"/>
        <w:spacing w:beforeAutospacing="0" w:before="0" w:afterAutospacing="0" w:after="0"/>
        <w:ind w:firstLine="709"/>
        <w:jc w:val="both"/>
        <w:rPr>
          <w:color w:val="000000"/>
          <w:sz w:val="28"/>
          <w:szCs w:val="28"/>
        </w:rPr>
      </w:pPr>
      <w:r>
        <w:rPr>
          <w:color w:val="000000"/>
          <w:sz w:val="28"/>
          <w:szCs w:val="28"/>
        </w:rPr>
        <w:t>В рамках совершенствования системы стратегического управления в Тереньгульском районе предполагается приведение муниципальных программ муниципального образования «Тереньгульский район» в соответствие приоритетам развития, целям и задачам, обозначенным в Стратегии.</w:t>
      </w:r>
    </w:p>
    <w:p>
      <w:pPr>
        <w:pStyle w:val="NormalWeb"/>
        <w:spacing w:beforeAutospacing="0" w:before="0" w:afterAutospacing="0" w:after="0"/>
        <w:ind w:firstLine="709"/>
        <w:jc w:val="both"/>
        <w:rPr>
          <w:color w:val="000000"/>
          <w:sz w:val="28"/>
          <w:szCs w:val="28"/>
        </w:rPr>
      </w:pPr>
      <w:r>
        <w:rPr>
          <w:color w:val="000000"/>
          <w:sz w:val="28"/>
          <w:szCs w:val="28"/>
        </w:rPr>
        <w:t>Корректировка Стратегии осуществляется по мере необходимости и обеспечивается в зависимости от изменений состояния внешней и внутренней среды.</w:t>
      </w:r>
    </w:p>
    <w:p>
      <w:pPr>
        <w:pStyle w:val="NormalWeb"/>
        <w:spacing w:beforeAutospacing="0" w:before="0" w:afterAutospacing="0" w:after="0"/>
        <w:ind w:firstLine="709"/>
        <w:jc w:val="both"/>
        <w:rPr>
          <w:color w:val="000000"/>
          <w:sz w:val="28"/>
          <w:szCs w:val="28"/>
        </w:rPr>
      </w:pPr>
      <w:r>
        <w:rPr>
          <w:color w:val="000000"/>
          <w:sz w:val="28"/>
          <w:szCs w:val="28"/>
        </w:rPr>
        <w:t>Основным механизмом реализации настоящей Стратегии является реализация плана мероприятий.</w:t>
      </w:r>
    </w:p>
    <w:p>
      <w:pPr>
        <w:pStyle w:val="NormalWeb"/>
        <w:spacing w:beforeAutospacing="0" w:before="0" w:afterAutospacing="0" w:after="0"/>
        <w:ind w:firstLine="709"/>
        <w:jc w:val="both"/>
        <w:rPr>
          <w:color w:val="000000"/>
          <w:spacing w:val="-2"/>
          <w:sz w:val="28"/>
          <w:szCs w:val="28"/>
        </w:rPr>
      </w:pPr>
      <w:r>
        <w:rPr>
          <w:color w:val="000000"/>
          <w:spacing w:val="-2"/>
          <w:sz w:val="28"/>
          <w:szCs w:val="28"/>
        </w:rPr>
        <w:t>План мероприятий по реализации Стратегии имеет следующую структуру:</w:t>
      </w:r>
    </w:p>
    <w:p>
      <w:pPr>
        <w:pStyle w:val="NormalWeb"/>
        <w:spacing w:beforeAutospacing="0" w:before="0" w:afterAutospacing="0" w:after="0"/>
        <w:ind w:firstLine="709"/>
        <w:jc w:val="both"/>
        <w:rPr>
          <w:color w:val="000000"/>
          <w:sz w:val="28"/>
          <w:szCs w:val="28"/>
        </w:rPr>
      </w:pPr>
      <w:r>
        <w:rPr>
          <w:color w:val="000000"/>
          <w:sz w:val="28"/>
          <w:szCs w:val="28"/>
        </w:rPr>
        <w:t>1) этапы реализации настоящей Стратегии;</w:t>
      </w:r>
    </w:p>
    <w:p>
      <w:pPr>
        <w:pStyle w:val="NormalWeb"/>
        <w:spacing w:beforeAutospacing="0" w:before="0" w:afterAutospacing="0" w:after="0"/>
        <w:ind w:firstLine="709"/>
        <w:jc w:val="both"/>
        <w:rPr>
          <w:color w:val="000000"/>
          <w:sz w:val="28"/>
          <w:szCs w:val="28"/>
        </w:rPr>
      </w:pPr>
      <w:r>
        <w:rPr>
          <w:color w:val="000000"/>
          <w:sz w:val="28"/>
          <w:szCs w:val="28"/>
        </w:rPr>
        <w:t>2) цели и задачи социально-экономического развития муниципального</w:t>
      </w:r>
    </w:p>
    <w:p>
      <w:pPr>
        <w:pStyle w:val="NormalWeb"/>
        <w:spacing w:beforeAutospacing="0" w:before="0" w:afterAutospacing="0" w:after="0"/>
        <w:ind w:firstLine="709"/>
        <w:jc w:val="both"/>
        <w:rPr>
          <w:color w:val="000000"/>
          <w:sz w:val="28"/>
          <w:szCs w:val="28"/>
        </w:rPr>
      </w:pPr>
      <w:r>
        <w:rPr>
          <w:color w:val="000000"/>
          <w:sz w:val="28"/>
          <w:szCs w:val="28"/>
        </w:rPr>
        <w:t>образования «Тереньгульский район», приоритетные для каждого этапа реализации Стратегии. Показатели реализации и их значения, установленные для каждого этапа реализации настоящей Стратегии;</w:t>
      </w:r>
    </w:p>
    <w:p>
      <w:pPr>
        <w:pStyle w:val="NormalWeb"/>
        <w:spacing w:beforeAutospacing="0" w:before="0" w:afterAutospacing="0" w:after="0"/>
        <w:ind w:firstLine="709"/>
        <w:jc w:val="both"/>
        <w:rPr>
          <w:color w:val="000000"/>
          <w:sz w:val="28"/>
          <w:szCs w:val="28"/>
        </w:rPr>
      </w:pPr>
      <w:r>
        <w:rPr>
          <w:color w:val="000000"/>
          <w:sz w:val="28"/>
          <w:szCs w:val="28"/>
        </w:rPr>
        <w:t>3) комплексы мероприятий, обеспечивающие достижение долгосрочных целей социально-экономического развития муниципального образования «Тереньгульский район» на каждом этапе реализации настоящей Стратегии.</w:t>
      </w:r>
    </w:p>
    <w:p>
      <w:pPr>
        <w:pStyle w:val="NormalWeb"/>
        <w:spacing w:beforeAutospacing="0" w:before="0" w:afterAutospacing="0" w:after="0"/>
        <w:ind w:firstLine="709"/>
        <w:jc w:val="both"/>
        <w:rPr>
          <w:color w:val="000000"/>
          <w:sz w:val="28"/>
          <w:szCs w:val="28"/>
        </w:rPr>
      </w:pPr>
      <w:r>
        <w:rPr>
          <w:color w:val="000000"/>
          <w:sz w:val="28"/>
          <w:szCs w:val="28"/>
        </w:rPr>
        <w:t xml:space="preserve">Организационные механизмы реализации Стратегии предусматривают проведение всеми ответственными структурами администрации муниципального образования «Тереньгульский район» ежегодного мониторинга плана мероприятий по реализации Стратегии, представление сведений для обобщения </w:t>
        <w:br/>
        <w:t>в управление экономического и стратегического развития муниципального образования «Тереньгульский район».</w:t>
      </w:r>
    </w:p>
    <w:p>
      <w:pPr>
        <w:sectPr>
          <w:headerReference w:type="default" r:id="rId39"/>
          <w:type w:val="nextPage"/>
          <w:pgSz w:w="11906" w:h="16838"/>
          <w:pgMar w:left="1701" w:right="567" w:header="709" w:top="1134" w:footer="0" w:bottom="1134" w:gutter="0"/>
          <w:pgNumType w:fmt="decimal"/>
          <w:formProt w:val="false"/>
          <w:textDirection w:val="lrTb"/>
          <w:docGrid w:type="default" w:linePitch="360" w:charSpace="0"/>
        </w:sectPr>
        <w:pStyle w:val="NormalWeb"/>
        <w:spacing w:beforeAutospacing="0" w:before="0" w:afterAutospacing="0" w:after="0"/>
        <w:ind w:firstLine="709"/>
        <w:jc w:val="both"/>
        <w:rPr>
          <w:color w:val="000000"/>
          <w:sz w:val="28"/>
          <w:szCs w:val="28"/>
        </w:rPr>
      </w:pPr>
      <w:r>
        <w:rPr>
          <w:color w:val="000000"/>
          <w:sz w:val="28"/>
          <w:szCs w:val="28"/>
        </w:rPr>
        <w:t>Предусматривается также широкое информирование населения и общественности о ходе реализации Стратегии и Плана мероприятий, в том числе размещение отчёта на сайтах органов местного самоуправления муниципального образования «Тереньгульский район» в сети «Интернет».</w:t>
      </w:r>
    </w:p>
    <w:p>
      <w:pPr>
        <w:pStyle w:val="Normal"/>
        <w:jc w:val="right"/>
        <w:rPr>
          <w:sz w:val="28"/>
        </w:rPr>
      </w:pPr>
      <w:r>
        <w:rPr>
          <w:sz w:val="28"/>
        </w:rPr>
        <w:t>Приложение 1</w:t>
        <w:br/>
      </w:r>
    </w:p>
    <w:p>
      <w:pPr>
        <w:pStyle w:val="01"/>
        <w:rPr/>
      </w:pPr>
      <w:bookmarkStart w:id="69" w:name="_Toc4405034"/>
      <w:r>
        <w:rPr/>
        <w:t>ДЕРЕВО СТРАТЕГИЧЕСКИХ ЦЕЛЕЙ СОЦИАЛЬНО-ЭКОНОМИЧЕСКОГО РАЗВИТИЯ</w:t>
        <w:br/>
        <w:t>ТЕРЕНЬГУЛЬСКОГО РАЙОНА ДО 2030 ГОДА</w:t>
      </w:r>
      <w:bookmarkEnd w:id="69"/>
    </w:p>
    <w:p>
      <w:pPr>
        <w:pStyle w:val="Normal"/>
        <w:rPr/>
      </w:pPr>
      <w:r>
        <w:rPr/>
      </w:r>
    </w:p>
    <w:tbl>
      <w:tblPr>
        <w:tblStyle w:val="af1"/>
        <w:tblW w:w="14786" w:type="dxa"/>
        <w:jc w:val="left"/>
        <w:tblInd w:w="0" w:type="dxa"/>
        <w:tblCellMar>
          <w:top w:w="0" w:type="dxa"/>
          <w:left w:w="108" w:type="dxa"/>
          <w:bottom w:w="0" w:type="dxa"/>
          <w:right w:w="108" w:type="dxa"/>
        </w:tblCellMar>
        <w:tblLook w:noVBand="1" w:val="04a0" w:noHBand="0" w:lastColumn="0" w:firstColumn="1" w:lastRow="0" w:firstRow="1"/>
      </w:tblPr>
      <w:tblGrid>
        <w:gridCol w:w="14786"/>
      </w:tblGrid>
      <w:tr>
        <w:trPr/>
        <w:tc>
          <w:tcPr>
            <w:tcW w:w="14786" w:type="dxa"/>
            <w:tcBorders>
              <w:bottom w:val="nil"/>
            </w:tcBorders>
            <w:shd w:fill="auto" w:val="clear"/>
          </w:tcPr>
          <w:p>
            <w:pPr>
              <w:pStyle w:val="Normal"/>
              <w:suppressAutoHyphens w:val="false"/>
              <w:spacing w:lineRule="auto" w:line="240" w:before="0" w:after="0"/>
              <w:jc w:val="center"/>
              <w:rPr>
                <w:rFonts w:cs="Times New Roman"/>
                <w:b/>
                <w:b/>
                <w:color w:val="0D0D0D" w:themeColor="text1" w:themeTint="f2"/>
                <w:sz w:val="20"/>
                <w:szCs w:val="20"/>
              </w:rPr>
            </w:pPr>
            <w:r>
              <w:rPr>
                <w:rFonts w:cs="Times New Roman"/>
                <w:b/>
                <w:color w:val="0D0D0D" w:themeColor="text1" w:themeTint="f2"/>
                <w:sz w:val="20"/>
                <w:szCs w:val="20"/>
              </w:rPr>
              <w:t xml:space="preserve">МИССИЯ: </w:t>
            </w:r>
          </w:p>
          <w:p>
            <w:pPr>
              <w:pStyle w:val="Normal"/>
              <w:suppressAutoHyphens w:val="false"/>
              <w:spacing w:lineRule="auto" w:line="240" w:before="0" w:after="0"/>
              <w:jc w:val="center"/>
              <w:rPr>
                <w:rFonts w:cs="Times New Roman"/>
                <w:color w:val="0D0D0D" w:themeColor="text1" w:themeTint="f2"/>
                <w:szCs w:val="20"/>
              </w:rPr>
            </w:pPr>
            <w:r>
              <w:rPr>
                <w:rFonts w:cs="Times New Roman"/>
                <w:color w:val="0D0D0D" w:themeColor="text1" w:themeTint="f2"/>
                <w:szCs w:val="20"/>
              </w:rPr>
              <w:t xml:space="preserve">рост благосостояния жителей района и качества жизни, а также в повышении темпов </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Cs w:val="20"/>
              </w:rPr>
              <w:t>экономического роста до уровня, превышающего среднеобластные показатели.</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r>
          </w:p>
        </w:tc>
      </w:tr>
    </w:tbl>
    <w:p>
      <w:pPr>
        <w:pStyle w:val="Normal"/>
        <w:rPr>
          <w:sz w:val="2"/>
          <w:szCs w:val="2"/>
        </w:rPr>
      </w:pPr>
      <w:r>
        <w:rPr>
          <w:sz w:val="2"/>
          <w:szCs w:val="2"/>
        </w:rPr>
      </w:r>
    </w:p>
    <w:tbl>
      <w:tblPr>
        <w:tblStyle w:val="af1"/>
        <w:tblW w:w="14786" w:type="dxa"/>
        <w:jc w:val="left"/>
        <w:tblInd w:w="0" w:type="dxa"/>
        <w:tblCellMar>
          <w:top w:w="0" w:type="dxa"/>
          <w:left w:w="108" w:type="dxa"/>
          <w:bottom w:w="0" w:type="dxa"/>
          <w:right w:w="108" w:type="dxa"/>
        </w:tblCellMar>
        <w:tblLook w:noVBand="1" w:val="04a0" w:noHBand="0" w:lastColumn="0" w:firstColumn="1" w:lastRow="0" w:firstRow="1"/>
      </w:tblPr>
      <w:tblGrid>
        <w:gridCol w:w="2234"/>
        <w:gridCol w:w="2028"/>
        <w:gridCol w:w="2366"/>
        <w:gridCol w:w="3118"/>
        <w:gridCol w:w="2694"/>
        <w:gridCol w:w="2345"/>
      </w:tblGrid>
      <w:tr>
        <w:trPr>
          <w:tblHeader w:val="true"/>
        </w:trPr>
        <w:tc>
          <w:tcPr>
            <w:tcW w:w="2234"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СТРАТЕГИЧЕСКИЙ ВЕКТОР</w:t>
            </w:r>
          </w:p>
        </w:tc>
        <w:tc>
          <w:tcPr>
            <w:tcW w:w="2028"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СТРАТЕГИЧЕСКАЯ ЦЕЛЬ</w:t>
            </w:r>
          </w:p>
        </w:tc>
        <w:tc>
          <w:tcPr>
            <w:tcW w:w="2366"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ПРИОРИТЕТЫ</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РАЗВИТИЯ</w:t>
            </w:r>
          </w:p>
        </w:tc>
        <w:tc>
          <w:tcPr>
            <w:tcW w:w="3118"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 xml:space="preserve">СТРАТЕГИЧЕСКИЕ </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ПОДЦЕЛИ</w:t>
            </w:r>
          </w:p>
        </w:tc>
        <w:tc>
          <w:tcPr>
            <w:tcW w:w="2694"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 xml:space="preserve">СТРАТЕГИЧЕСКИЕ </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ЗАДАЧИ</w:t>
            </w:r>
          </w:p>
        </w:tc>
        <w:tc>
          <w:tcPr>
            <w:tcW w:w="2345"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ИНСТРУМЕНТЫ ДОСТИЖЕНИЯ ЦЕЛЕЙ</w:t>
            </w:r>
          </w:p>
        </w:tc>
      </w:tr>
      <w:tr>
        <w:trPr/>
        <w:tc>
          <w:tcPr>
            <w:tcW w:w="2234"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Развитие человеческого капитала и социальной сферы</w:t>
            </w:r>
          </w:p>
        </w:tc>
        <w:tc>
          <w:tcPr>
            <w:tcW w:w="2028" w:type="dxa"/>
            <w:vMerge w:val="restart"/>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t>Обеспечение качества жизни населения за счёт качественных преобразований в социальной сфере.</w:t>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Улучшение демографической ситуации</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Сокращение миграционного оттока к 2030 году в 2 раза по сравнению с 2017 годом.</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Снижение смертности от наиболее распространённых заболеваний на 2,6% по сравнению с 2017 годом.</w:t>
            </w:r>
          </w:p>
        </w:tc>
        <w:tc>
          <w:tcPr>
            <w:tcW w:w="2694" w:type="dxa"/>
            <w:tcBorders/>
            <w:shd w:fill="auto" w:val="clear"/>
          </w:tcPr>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w:t>
              <w:tab/>
              <w:t>Повышение качества и доступности услуг в сфере здравоохранения.</w:t>
            </w:r>
          </w:p>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2. Создание условий для «удержания» молодого населения, привлечения человеческого капитала для жизни и работы. </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«Молодёжь» на 2018-2020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Национальный проект «Демография» (региональные проекты «Старшее поколение», «Ясли», «Формирование системы мотивации граждан к здоровому образу жизни в Ульяновской области, включая здоровое питание и отказ от вредных привычек»)</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Национальный проект «Здравоохранение»</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Качественные преобразования, повышение качества и доступности услуг в системе образования, культуры, туризма, здравоохранения, физической культуры и спорта</w:t>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Образование: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Материально-техническая обеспеченность образовательных учреждений в соответствии с федеральными государственными образовательными стандартами – 100%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Обеспечение кадровой потребности в сфере образования на 80%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доступности и комфортности получения образовательных услуг, в том числе для лиц с ОВЗ.</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Приобретение современного оборудования для реализации программ общего и дополнительного образования, в том числе технической направленности, в соответствие с требованиями федеральных государственных образовательных стандартов.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Сокращение дефицита педагогических кадров в системе образования.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Развитие системы дополнительного профессионального образования.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Организация системы профориентационной работы в общеобразовательных организациях на базе предприятий Тереньгульского района и образовательных организаций среднего профессионального и высшего образования Ульяновской области.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«Содержание и развитие системы образования муниципального образования «Тереньгульский район» на 2019-2021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Государственная программа «Развитие и модернизация образования в Ульяновской области» на 2014-2021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Национальный проект «Образование» (региональные проекты «Со-временная школа», «Успех каждого ребёнка», «Цифровая образовательная среда»).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Национальный проект «Демография» (региональный проект «Стар-шее поколение», «Яс-ли»).</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Культура:</w:t>
            </w:r>
          </w:p>
          <w:p>
            <w:pPr>
              <w:pStyle w:val="ListParagraph"/>
              <w:numPr>
                <w:ilvl w:val="0"/>
                <w:numId w:val="49"/>
              </w:numPr>
              <w:tabs>
                <w:tab w:val="clear" w:pos="708"/>
                <w:tab w:val="left" w:pos="179"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Сохранение и развитие историко-культурного потенциала района, создание условий (смыслового наполнения) для формирования развитой туристической инфраструктуры.</w:t>
            </w:r>
          </w:p>
          <w:p>
            <w:pPr>
              <w:pStyle w:val="ListParagraph"/>
              <w:numPr>
                <w:ilvl w:val="0"/>
                <w:numId w:val="49"/>
              </w:numPr>
              <w:tabs>
                <w:tab w:val="clear" w:pos="708"/>
                <w:tab w:val="left" w:pos="179"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Укрепление и модернизация к 2030 году 80% материально-технической базы учреждений культуры.</w:t>
            </w:r>
          </w:p>
          <w:p>
            <w:pPr>
              <w:pStyle w:val="ListParagraph"/>
              <w:numPr>
                <w:ilvl w:val="0"/>
                <w:numId w:val="49"/>
              </w:numPr>
              <w:tabs>
                <w:tab w:val="clear" w:pos="708"/>
                <w:tab w:val="left" w:pos="179" w:leader="none"/>
              </w:tabs>
              <w:suppressAutoHyphens w:val="false"/>
              <w:spacing w:lineRule="auto" w:line="240" w:before="0" w:after="0"/>
              <w:ind w:left="0" w:hanging="0"/>
              <w:contextualSpacing/>
              <w:rPr>
                <w:rFonts w:cs="Times New Roman"/>
                <w:b/>
                <w:b/>
                <w:color w:val="0D0D0D" w:themeColor="text1" w:themeTint="f2"/>
                <w:sz w:val="20"/>
                <w:szCs w:val="20"/>
              </w:rPr>
            </w:pPr>
            <w:r>
              <w:rPr>
                <w:rFonts w:cs="Times New Roman"/>
                <w:color w:val="0D0D0D" w:themeColor="text1" w:themeTint="f2"/>
                <w:sz w:val="20"/>
                <w:szCs w:val="20"/>
              </w:rPr>
              <w:t>Обеспечение профессионально-квалификационной и количественной потребности в кадрах учреждений культуры на 70%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Совершенствование материально-технической базы, приведение зданий учреждений культуры в нормативное состояние, улучшение условий предоставления услуг в сфере культуры.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Сокращение дефицита кадров в сфере культуры.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Увеличение охвата (доли) обучающихся в детской школе искусств.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Создание музейного комплекса вокруг ключевого объекта – усадьбы Перси-Френч.</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Реорганизация экспозиции краеведческого музея.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Развитие фестивального направления.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Создание официальных аккаунтов крупных учреждений культуры в социальных сетях, размещение ссылок на них в разделе «Культура и искусство» на официальном сайте муниципального образования.</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«Культура муниципального обра-зования «Тереньгуль-ский район» на 2018-2020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Государственная программа «Развитие культуры и сохранение объектов культурного наследия в Ульяновской области» на 2014 - 2021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Национальный проект «Культура» (региональный проект «Культурная среда»)</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bottom w:val="nil"/>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Туризм:</w:t>
            </w:r>
          </w:p>
          <w:p>
            <w:pPr>
              <w:pStyle w:val="ListParagraph"/>
              <w:numPr>
                <w:ilvl w:val="0"/>
                <w:numId w:val="50"/>
              </w:numPr>
              <w:tabs>
                <w:tab w:val="clear" w:pos="708"/>
                <w:tab w:val="left" w:pos="175"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Увеличение туристического потока на территорию Тереньгульского района.</w:t>
            </w:r>
          </w:p>
          <w:p>
            <w:pPr>
              <w:pStyle w:val="ListParagraph"/>
              <w:numPr>
                <w:ilvl w:val="0"/>
                <w:numId w:val="50"/>
              </w:numPr>
              <w:tabs>
                <w:tab w:val="clear" w:pos="708"/>
                <w:tab w:val="left" w:pos="175"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Развитие туристической инфраструктуры на территории Тереньгульского района.</w:t>
            </w:r>
          </w:p>
          <w:p>
            <w:pPr>
              <w:pStyle w:val="ListParagraph"/>
              <w:numPr>
                <w:ilvl w:val="0"/>
                <w:numId w:val="50"/>
              </w:numPr>
              <w:tabs>
                <w:tab w:val="clear" w:pos="708"/>
                <w:tab w:val="left" w:pos="175" w:leader="none"/>
              </w:tabs>
              <w:suppressAutoHyphens w:val="false"/>
              <w:spacing w:lineRule="auto" w:line="240" w:before="0" w:after="0"/>
              <w:ind w:left="0" w:hanging="0"/>
              <w:contextualSpacing/>
              <w:rPr>
                <w:rFonts w:cs="Times New Roman"/>
                <w:b/>
                <w:b/>
                <w:color w:val="0D0D0D" w:themeColor="text1" w:themeTint="f2"/>
                <w:sz w:val="20"/>
                <w:szCs w:val="20"/>
              </w:rPr>
            </w:pPr>
            <w:r>
              <w:rPr>
                <w:rFonts w:cs="Times New Roman"/>
                <w:color w:val="0D0D0D" w:themeColor="text1" w:themeTint="f2"/>
                <w:sz w:val="20"/>
                <w:szCs w:val="20"/>
              </w:rPr>
              <w:t>Формирование туристического бренда Тереньгульского района для повышения узнаваемости территории на межрегиональном и всероссийском уровне, коммерциализации туристической отрасли.</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Создание и продвижение новых туристических маршрутов на территории района с целью увеличения туристического потока в 2 раза.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Создание системы информирования туристов для обеспечения удобства пребывания и навигации на территории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Содействие развитию туристической инфраструктуры, в том числе через применение механизмов государственно-частного партнёрства и оказание содействия предпринимателям малого и среднего бизнеса, задействованным в сфере туризма.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Благоустройство мест массового отдыха.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5. Развитие событийного туризма. </w:t>
            </w:r>
          </w:p>
          <w:p>
            <w:pPr>
              <w:pStyle w:val="Normal"/>
              <w:suppressAutoHyphens w:val="false"/>
              <w:spacing w:lineRule="auto" w:line="240" w:before="0" w:after="0"/>
              <w:rPr>
                <w:rFonts w:cs="Times New Roman"/>
                <w:color w:val="0D0D0D" w:themeColor="text1" w:themeTint="f2"/>
                <w:spacing w:val="-4"/>
                <w:sz w:val="20"/>
                <w:szCs w:val="20"/>
              </w:rPr>
            </w:pPr>
            <w:r>
              <w:rPr>
                <w:rFonts w:cs="Times New Roman"/>
                <w:color w:val="0D0D0D" w:themeColor="text1" w:themeTint="f2"/>
                <w:spacing w:val="-4"/>
                <w:sz w:val="20"/>
                <w:szCs w:val="20"/>
              </w:rPr>
              <w:t>6. Обеспечение подготовки профессиональных кадров экскурсоводов, осуществляющих профессиональную деятельность на постоянной основе на территории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Организация индустрии изготовления сувенирной продукции, опираясь на возрождение уникальных местных традиционных промыслов.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8. Обеспечение участия района в составе делегации Ульяновской области в ежегодно проводимых общероссийских и международных презентационно-выставочных мероприятиях отрасли туризма.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9. Формирование и продвижение туристического бренда района, отражающего уникальность территории на межрегиональном и всероссийском уровне.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10. Создание специального ресурса в информационно-телекоммуникационной сети «Интернет», связанного с официальным сайтом муниципального образования, содержащего информацию об уникальных достопримечательностях, действующих туристических маршрутах, гидах-экскурсоводах и расценках на экскурсии.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туризма на территории  муниципального образования «Тереньгульский район» на 2018-2020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restart"/>
            <w:tcBorders>
              <w:top w:val="nil"/>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Здравоохранение:</w:t>
            </w:r>
          </w:p>
          <w:p>
            <w:pPr>
              <w:pStyle w:val="ListParagraph"/>
              <w:numPr>
                <w:ilvl w:val="0"/>
                <w:numId w:val="51"/>
              </w:numPr>
              <w:tabs>
                <w:tab w:val="clear" w:pos="708"/>
                <w:tab w:val="left" w:pos="175" w:leader="none"/>
                <w:tab w:val="left" w:pos="317" w:leader="none"/>
              </w:tabs>
              <w:suppressAutoHyphens w:val="false"/>
              <w:spacing w:lineRule="auto" w:line="240" w:before="0" w:after="0"/>
              <w:ind w:left="0" w:firstLine="34"/>
              <w:contextualSpacing/>
              <w:jc w:val="both"/>
              <w:rPr>
                <w:rFonts w:cs="Times New Roman"/>
                <w:color w:val="0D0D0D" w:themeColor="text1" w:themeTint="f2"/>
                <w:sz w:val="20"/>
                <w:szCs w:val="20"/>
              </w:rPr>
            </w:pPr>
            <w:r>
              <w:rPr>
                <w:rFonts w:cs="Times New Roman"/>
                <w:color w:val="0D0D0D" w:themeColor="text1" w:themeTint="f2"/>
                <w:sz w:val="20"/>
                <w:szCs w:val="20"/>
              </w:rPr>
              <w:t xml:space="preserve">100%-ное оснащение медицинским оборудованием и лекарственными препаратами медицинских учреждений, приведение зданий в нормативное состояние к 2030 году согласно Стандарту оказания медицинской помощи; </w:t>
            </w:r>
          </w:p>
          <w:p>
            <w:pPr>
              <w:pStyle w:val="ListParagraph"/>
              <w:numPr>
                <w:ilvl w:val="0"/>
                <w:numId w:val="51"/>
              </w:numPr>
              <w:tabs>
                <w:tab w:val="clear" w:pos="708"/>
                <w:tab w:val="left" w:pos="175" w:leader="none"/>
                <w:tab w:val="left" w:pos="317" w:leader="none"/>
              </w:tabs>
              <w:suppressAutoHyphens w:val="false"/>
              <w:spacing w:lineRule="auto" w:line="240" w:before="0" w:after="0"/>
              <w:ind w:left="0" w:firstLine="34"/>
              <w:contextualSpacing/>
              <w:jc w:val="both"/>
              <w:rPr>
                <w:rFonts w:cs="Times New Roman"/>
                <w:b/>
                <w:b/>
                <w:color w:val="0D0D0D" w:themeColor="text1" w:themeTint="f2"/>
                <w:sz w:val="20"/>
                <w:szCs w:val="20"/>
              </w:rPr>
            </w:pPr>
            <w:r>
              <w:rPr>
                <w:rFonts w:cs="Times New Roman"/>
                <w:color w:val="0D0D0D" w:themeColor="text1" w:themeTint="f2"/>
                <w:sz w:val="20"/>
                <w:szCs w:val="20"/>
              </w:rPr>
              <w:t>Сокращение на 20% дефицита средних медицинских работников.</w:t>
            </w:r>
          </w:p>
        </w:tc>
        <w:tc>
          <w:tcPr>
            <w:tcW w:w="2694" w:type="dxa"/>
            <w:tcBorders/>
            <w:shd w:fill="auto" w:val="clear"/>
          </w:tcPr>
          <w:p>
            <w:pPr>
              <w:pStyle w:val="ListParagraph"/>
              <w:numPr>
                <w:ilvl w:val="0"/>
                <w:numId w:val="52"/>
              </w:numPr>
              <w:tabs>
                <w:tab w:val="clear" w:pos="708"/>
                <w:tab w:val="left" w:pos="176" w:leader="none"/>
                <w:tab w:val="left" w:pos="318" w:leader="none"/>
              </w:tabs>
              <w:suppressAutoHyphens w:val="false"/>
              <w:spacing w:lineRule="auto" w:line="240" w:before="0" w:after="0"/>
              <w:ind w:left="0" w:firstLine="34"/>
              <w:contextualSpacing/>
              <w:jc w:val="both"/>
              <w:rPr>
                <w:rFonts w:cs="Times New Roman"/>
                <w:color w:val="0D0D0D" w:themeColor="text1" w:themeTint="f2"/>
                <w:sz w:val="20"/>
                <w:szCs w:val="20"/>
              </w:rPr>
            </w:pPr>
            <w:r>
              <w:rPr>
                <w:rFonts w:cs="Times New Roman"/>
                <w:color w:val="0D0D0D" w:themeColor="text1" w:themeTint="f2"/>
                <w:sz w:val="20"/>
                <w:szCs w:val="20"/>
              </w:rPr>
              <w:t>Доведение уровня лекарственного обеспечения и укомплектованности медицинским оборудованием медицинских учреждений до 100%, приведение зданий медицинских учреждений в нормативное состояние.</w:t>
            </w:r>
          </w:p>
          <w:p>
            <w:pPr>
              <w:pStyle w:val="ListParagraph"/>
              <w:numPr>
                <w:ilvl w:val="0"/>
                <w:numId w:val="52"/>
              </w:numPr>
              <w:tabs>
                <w:tab w:val="clear" w:pos="708"/>
                <w:tab w:val="left" w:pos="176" w:leader="none"/>
                <w:tab w:val="left" w:pos="318" w:leader="none"/>
              </w:tabs>
              <w:suppressAutoHyphens w:val="false"/>
              <w:spacing w:lineRule="auto" w:line="240" w:before="0" w:after="0"/>
              <w:ind w:left="0" w:firstLine="34"/>
              <w:contextualSpacing/>
              <w:jc w:val="both"/>
              <w:rPr>
                <w:rFonts w:cs="Times New Roman"/>
                <w:color w:val="0D0D0D" w:themeColor="text1" w:themeTint="f2"/>
                <w:sz w:val="20"/>
                <w:szCs w:val="20"/>
              </w:rPr>
            </w:pPr>
            <w:r>
              <w:rPr>
                <w:rFonts w:cs="Times New Roman"/>
                <w:color w:val="0D0D0D" w:themeColor="text1" w:themeTint="f2"/>
                <w:sz w:val="20"/>
                <w:szCs w:val="20"/>
              </w:rPr>
              <w:t xml:space="preserve"> </w:t>
            </w:r>
            <w:r>
              <w:rPr>
                <w:rFonts w:cs="Times New Roman"/>
                <w:color w:val="0D0D0D" w:themeColor="text1" w:themeTint="f2"/>
                <w:sz w:val="20"/>
                <w:szCs w:val="20"/>
              </w:rPr>
              <w:t>Сокращение дефицита среднего медицинского персонала на 20% к 2030 году.</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Государственная программа «Развитие здравоохранения в Ульяновской области» на 2014 - 2021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Национальный проект «Демография» (регио-нальный проект «Фор-мирование системы мотивации граждан к здоровому образу жизни в Ульяновской области, включая здоровое питание и отказ от вредных привычек»)</w:t>
            </w:r>
          </w:p>
          <w:p>
            <w:pPr>
              <w:pStyle w:val="Normal"/>
              <w:spacing w:lineRule="auto" w:line="240" w:before="0" w:after="0"/>
              <w:rPr/>
            </w:pPr>
            <w:r>
              <w:rPr>
                <w:rFonts w:cs="Times New Roman"/>
                <w:color w:val="0D0D0D" w:themeColor="text1" w:themeTint="f2"/>
                <w:sz w:val="20"/>
                <w:szCs w:val="20"/>
              </w:rPr>
              <w:t>3. Национальный проект «Здравоохранение» (региональные проекты «Развитие первичной медико-санитарной помощи</w:t>
              <w:tab/>
              <w:t>«, «Борьба с сердечно-сосудистыми заболеваниями», «Борьба с онкологическими заболеваниями», «Развитие детского здравоохранения, включая создание современной инфраструктуры оказания медицинской помощи детям», «Обеспечение медицинских организаций системы здравоохранения квалифицированными кадрами»)</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Физическая культура и спорт: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Увеличение доли граждан, систематически занимающихся физической культурой и спортом.</w:t>
            </w:r>
          </w:p>
          <w:p>
            <w:pPr>
              <w:pStyle w:val="Normal"/>
              <w:suppressAutoHyphens w:val="false"/>
              <w:spacing w:lineRule="auto" w:line="240" w:before="0" w:after="0"/>
              <w:rPr>
                <w:rFonts w:cs="Times New Roman"/>
                <w:b/>
                <w:b/>
                <w:color w:val="0D0D0D" w:themeColor="text1" w:themeTint="f2"/>
                <w:sz w:val="20"/>
                <w:szCs w:val="20"/>
              </w:rPr>
            </w:pPr>
            <w:r>
              <w:rPr>
                <w:rFonts w:cs="Times New Roman"/>
                <w:color w:val="0D0D0D" w:themeColor="text1" w:themeTint="f2"/>
                <w:sz w:val="20"/>
                <w:szCs w:val="20"/>
              </w:rPr>
              <w:t>2. Обеспечение спортивной отрасли муниципалитета новыми квалифицированными кадрами тренерско-преподавательского состава.</w:t>
            </w:r>
          </w:p>
        </w:tc>
        <w:tc>
          <w:tcPr>
            <w:tcW w:w="2694" w:type="dxa"/>
            <w:tcBorders/>
            <w:shd w:fill="auto" w:val="clear"/>
          </w:tcPr>
          <w:p>
            <w:pPr>
              <w:pStyle w:val="ListParagraph"/>
              <w:tabs>
                <w:tab w:val="clear" w:pos="708"/>
                <w:tab w:val="left" w:pos="176" w:leader="none"/>
                <w:tab w:val="left" w:pos="318"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1. Развитие спортивной инфраструктуры в муниципальном образовании.</w:t>
            </w:r>
          </w:p>
          <w:p>
            <w:pPr>
              <w:pStyle w:val="ListParagraph"/>
              <w:tabs>
                <w:tab w:val="clear" w:pos="708"/>
                <w:tab w:val="left" w:pos="176" w:leader="none"/>
                <w:tab w:val="left" w:pos="318"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2. Активизация спортивно-массовой работы в районе, том числе вовлечение жителей в подготовку и выполнение нормативов Всероссийского физкультурно-спортивного комплекса «Готов к труду и обороне».</w:t>
            </w:r>
          </w:p>
          <w:p>
            <w:pPr>
              <w:pStyle w:val="ListParagraph"/>
              <w:tabs>
                <w:tab w:val="clear" w:pos="708"/>
                <w:tab w:val="left" w:pos="176" w:leader="none"/>
                <w:tab w:val="left" w:pos="318"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3. Осуществление информационной кампании, направленной на популяризацию регулярных занятий физической культурой и спортом, а также повышение информированности жителей о спортивных мероприятиях.</w:t>
            </w:r>
          </w:p>
          <w:p>
            <w:pPr>
              <w:pStyle w:val="ListParagraph"/>
              <w:tabs>
                <w:tab w:val="clear" w:pos="708"/>
                <w:tab w:val="left" w:pos="176" w:leader="none"/>
                <w:tab w:val="left" w:pos="318"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 xml:space="preserve">4. Активизация кадровой политики по привлечению молодых специалистов в области физической культуры и спорта. </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физической культуры и спорта в муниципальном образовании «Тереньгульский район» на 2017-2019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Государственная программа Ульяновской области «Развитие физической культуры и спорта в Ульяновской области на 2014 - 2021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Региональный проект «Спорт – норма жизни» в рамках национального проекта «Демография».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Создание условий для успешной социализации, самореализации молодёжи, вовлечения в общественно полезную деятельность, сокращение миграционного оттока молодёжи</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Сокращение миграционного оттока молодёжи</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Увеличение охвата молодёжи категории 19-30 лет, вовлечённой в работу молодёжных общественных организаций.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Увеличение доли культурно-массовых мероприятий с участием молодёжи категории 19-30 лет.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Выстраивание системы работы с молодёжью, вовлечения данной категории граждан в общественно полезную деятельность, вопросов развития Тереньгульского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Создание условий для организации досуговой деятельности молодёжи категории 19-30 лет.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Сопровождение, содействие молодёжи в трудоустройстве в организации  Тереньгульского района после окончания обучения. 6. Разработка программы «Обеспечение кадрами социальной сферы», предусматривающей дополнительные меры поддержки молодых специалистов в Тереньгульском районе.</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«Молодёжь» на 2018-2020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Государственная программа «Развитие и модернизация образования в Ульяновской области» на 2014-2021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3.Национальный проект «Образование» (региональный проект «Социальная активность»)</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Программа «Обеспечение кадрами социальной сферы муниципального образования «Тереньгульский район»</w:t>
            </w:r>
          </w:p>
        </w:tc>
      </w:tr>
      <w:tr>
        <w:trPr/>
        <w:tc>
          <w:tcPr>
            <w:tcW w:w="2234"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Развитие экономики, создание благоприятного инвестиционного и предпринимательского климата</w:t>
            </w:r>
          </w:p>
        </w:tc>
        <w:tc>
          <w:tcPr>
            <w:tcW w:w="2028"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Повышение уровня жизни населения за счёт содействия развитию приоритетных отраслей экономики и создания благоприятных условий, стимулирующих инвестиционное развитие района</w:t>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Развитие промышленности</w:t>
            </w:r>
          </w:p>
        </w:tc>
        <w:tc>
          <w:tcPr>
            <w:tcW w:w="3118" w:type="dxa"/>
            <w:tcBorders/>
            <w:shd w:fill="auto" w:val="clear"/>
          </w:tcPr>
          <w:p>
            <w:pPr>
              <w:pStyle w:val="ListParagraph"/>
              <w:numPr>
                <w:ilvl w:val="0"/>
                <w:numId w:val="53"/>
              </w:numPr>
              <w:tabs>
                <w:tab w:val="clear" w:pos="708"/>
                <w:tab w:val="left" w:pos="317"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Увеличение объёма отгруженных товаров собственного производства в промышленности (в действующих ценах) в 2 раза к 2030г. (по отношению к уровню 2017г.).</w:t>
            </w:r>
          </w:p>
          <w:p>
            <w:pPr>
              <w:pStyle w:val="ListParagraph"/>
              <w:numPr>
                <w:ilvl w:val="0"/>
                <w:numId w:val="53"/>
              </w:numPr>
              <w:tabs>
                <w:tab w:val="clear" w:pos="708"/>
                <w:tab w:val="left" w:pos="317"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Доведение уровня доходов работников промышленности до среднерайонного значения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Содействие повышения инвестиционной привлекательности отраслей промышленности и привлечение как минимум 3-х инвесторов.</w:t>
            </w:r>
          </w:p>
          <w:p>
            <w:pPr>
              <w:pStyle w:val="Normal"/>
              <w:spacing w:lineRule="auto" w:line="240" w:before="0" w:after="0"/>
              <w:rPr>
                <w:sz w:val="20"/>
                <w:szCs w:val="20"/>
              </w:rPr>
            </w:pPr>
            <w:r>
              <w:rPr>
                <w:sz w:val="20"/>
                <w:szCs w:val="20"/>
              </w:rPr>
              <w:t>2. Создание условий для размещения новых производств и создания не менее 50 высокопроизводительных рабочих мест с достойной заработной платой в год:</w:t>
            </w:r>
          </w:p>
          <w:p>
            <w:pPr>
              <w:pStyle w:val="Normal"/>
              <w:spacing w:lineRule="auto" w:line="240" w:before="0" w:after="0"/>
              <w:rPr>
                <w:sz w:val="20"/>
                <w:szCs w:val="20"/>
              </w:rPr>
            </w:pPr>
            <w:r>
              <w:rPr>
                <w:sz w:val="20"/>
                <w:szCs w:val="20"/>
              </w:rPr>
              <w:t>3. Модернизация существующих производств и вывод на полную мощность ранее созданных производств.</w:t>
            </w:r>
          </w:p>
          <w:p>
            <w:pPr>
              <w:pStyle w:val="Normal"/>
              <w:spacing w:lineRule="auto" w:line="240" w:before="0" w:after="0"/>
              <w:rPr>
                <w:sz w:val="20"/>
                <w:szCs w:val="20"/>
              </w:rPr>
            </w:pPr>
            <w:r>
              <w:rPr>
                <w:sz w:val="20"/>
                <w:szCs w:val="20"/>
              </w:rPr>
              <w:t>4. Минимизация экологического ущерба, наносимого промышленными предприятиями.</w:t>
            </w:r>
          </w:p>
          <w:p>
            <w:pPr>
              <w:pStyle w:val="Normal"/>
              <w:spacing w:lineRule="auto" w:line="240" w:before="0" w:after="0"/>
              <w:rPr>
                <w:sz w:val="20"/>
                <w:szCs w:val="20"/>
              </w:rPr>
            </w:pPr>
            <w:r>
              <w:rPr>
                <w:sz w:val="20"/>
                <w:szCs w:val="20"/>
              </w:rPr>
              <w:t>5. Обеспечение повышения конкурентоспособности продукции за счёт обновления основных производственных фондов.</w:t>
            </w:r>
          </w:p>
          <w:p>
            <w:pPr>
              <w:pStyle w:val="Normal"/>
              <w:spacing w:lineRule="auto" w:line="240" w:before="0" w:after="0"/>
              <w:rPr/>
            </w:pPr>
            <w:r>
              <w:rPr>
                <w:sz w:val="20"/>
                <w:szCs w:val="20"/>
              </w:rPr>
              <w:t>6. Продвижение продукции промышленных производств за пределами Тереньгульского района и Ульяновской области.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pacing w:lineRule="auto" w:line="240" w:before="0" w:after="0"/>
              <w:rPr>
                <w:sz w:val="20"/>
                <w:szCs w:val="20"/>
              </w:rPr>
            </w:pPr>
            <w:r>
              <w:rPr>
                <w:sz w:val="20"/>
                <w:szCs w:val="20"/>
              </w:rPr>
              <w:t>2. Развитие жилищного строительства</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Увеличение объёмов ввода жилья в 2024 году в 1,5 раза к уровню 2018 года и сохранение достигнутых темпов до 2030 года</w:t>
            </w:r>
          </w:p>
        </w:tc>
        <w:tc>
          <w:tcPr>
            <w:tcW w:w="2694" w:type="dxa"/>
            <w:tcBorders/>
            <w:shd w:fill="auto" w:val="clear"/>
          </w:tcPr>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w:t>
              <w:tab/>
              <w:t>Создание условий для привлечения застройщиков на территорию Тереньгульского района.</w:t>
            </w:r>
          </w:p>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Рост обеспеченности жильём на 1 человека на 15% к 2030 году за счёт строительства как минимум одного многоквартирного дома (24 квартиры) в год.</w:t>
            </w:r>
          </w:p>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100 % обеспечение жильем льготных категорий граждан до 2030 года.</w:t>
            </w:r>
          </w:p>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Обеспечение 100% нуждающихся многодетных семей бесплатными земельными участками, предусмотренных федеральным законодательством.</w:t>
            </w:r>
          </w:p>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Выполнение планов ввода жилья эконом-класса в соответствии с Указом Президента № 600.</w:t>
            </w:r>
          </w:p>
          <w:p>
            <w:pPr>
              <w:pStyle w:val="Normal"/>
              <w:tabs>
                <w:tab w:val="clear" w:pos="708"/>
                <w:tab w:val="left" w:pos="176" w:leader="none"/>
              </w:tabs>
              <w:suppressAutoHyphens w:val="false"/>
              <w:spacing w:lineRule="auto" w:line="240" w:before="0" w:after="0"/>
              <w:rPr>
                <w:rFonts w:cs="Times New Roman"/>
                <w:color w:val="0D0D0D" w:themeColor="text1" w:themeTint="f2"/>
                <w:spacing w:val="-2"/>
                <w:sz w:val="20"/>
                <w:szCs w:val="20"/>
              </w:rPr>
            </w:pPr>
            <w:r>
              <w:rPr>
                <w:rFonts w:cs="Times New Roman"/>
                <w:color w:val="0D0D0D" w:themeColor="text1" w:themeTint="f2"/>
                <w:spacing w:val="-2"/>
                <w:sz w:val="20"/>
                <w:szCs w:val="20"/>
              </w:rPr>
              <w:t>6. Снижение себестоимости 1 квадратного метра в новом жилом фонде.</w:t>
            </w:r>
          </w:p>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Создание условий для повышения доступности жилья для всех категорий граждан на территории Тереньгульского района.</w:t>
            </w:r>
          </w:p>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8. Ликвидация ветхого жилищного фонда.</w:t>
            </w:r>
          </w:p>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9. Приведение в соответствие действующему законодательству документов градостроительной деятельности района.</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«Обеспечение жильём молодых семей» муниципального образования «Тереньгульский район» на 2018-2020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2.Национальный проект «Жилье и городская среда» (РП «Жильё», РП «Обеспечение устойчивого сокращения непригодного для проживания жилого фонда»)</w:t>
            </w:r>
          </w:p>
          <w:p>
            <w:pPr>
              <w:pStyle w:val="Normal"/>
              <w:suppressAutoHyphens w:val="false"/>
              <w:spacing w:lineRule="auto" w:line="240" w:before="0" w:after="0"/>
              <w:rPr>
                <w:rFonts w:cs="Times New Roman"/>
                <w:sz w:val="20"/>
              </w:rPr>
            </w:pPr>
            <w:r>
              <w:rPr>
                <w:rFonts w:cs="Times New Roman"/>
                <w:sz w:val="20"/>
              </w:rPr>
              <w:t>3.Региональня программа «Губернаторская ипотека»</w:t>
            </w:r>
          </w:p>
          <w:p>
            <w:pPr>
              <w:pStyle w:val="Normal"/>
              <w:suppressAutoHyphens w:val="false"/>
              <w:spacing w:lineRule="auto" w:line="240" w:before="0" w:after="0"/>
              <w:rPr>
                <w:rFonts w:cs="Times New Roman"/>
                <w:sz w:val="20"/>
              </w:rPr>
            </w:pPr>
            <w:r>
              <w:rPr>
                <w:rFonts w:cs="Times New Roman"/>
                <w:sz w:val="20"/>
              </w:rPr>
              <w:t>4.Областная программа «Обеспечение жильём молодых семей»</w:t>
            </w:r>
          </w:p>
          <w:p>
            <w:pPr>
              <w:pStyle w:val="Normal"/>
              <w:suppressAutoHyphens w:val="false"/>
              <w:spacing w:lineRule="auto" w:line="240" w:before="0" w:after="0"/>
              <w:rPr>
                <w:rFonts w:cs="Times New Roman"/>
                <w:sz w:val="20"/>
              </w:rPr>
            </w:pPr>
            <w:r>
              <w:rPr>
                <w:rFonts w:cs="Times New Roman"/>
                <w:sz w:val="20"/>
              </w:rPr>
              <w:t>5.Областная программа «Обеспечение жильём детей-сирот»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r>
      <w:tr>
        <w:trPr>
          <w:trHeight w:val="683"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restart"/>
            <w:tcBorders/>
            <w:shd w:fill="auto" w:val="clear"/>
          </w:tcPr>
          <w:p>
            <w:pPr>
              <w:pStyle w:val="Normal"/>
              <w:spacing w:lineRule="auto" w:line="240" w:before="0" w:after="0"/>
              <w:rPr>
                <w:sz w:val="20"/>
                <w:szCs w:val="20"/>
              </w:rPr>
            </w:pPr>
            <w:r>
              <w:rPr>
                <w:sz w:val="20"/>
                <w:szCs w:val="20"/>
              </w:rPr>
              <w:t>3. Развитие сельского хозяйства</w:t>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Создание эффективной экономики с высокой производительностью труда, достойным уровнем заработной платы, возрастающей ролью малого бизнеса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w:t>
            </w:r>
          </w:p>
        </w:tc>
        <w:tc>
          <w:tcPr>
            <w:tcW w:w="2345" w:type="dxa"/>
            <w:tcBorders/>
            <w:shd w:fill="auto" w:val="clear"/>
          </w:tcPr>
          <w:p>
            <w:pPr>
              <w:pStyle w:val="Normal"/>
              <w:suppressAutoHyphens w:val="false"/>
              <w:spacing w:lineRule="auto" w:line="240" w:before="0" w:after="0"/>
              <w:rPr>
                <w:rFonts w:cs="Times New Roman"/>
                <w:sz w:val="20"/>
              </w:rPr>
            </w:pPr>
            <w:r>
              <w:rPr>
                <w:rFonts w:cs="Times New Roman"/>
                <w:sz w:val="20"/>
              </w:rPr>
              <w:t xml:space="preserve">1. </w:t>
            </w:r>
            <w:r>
              <w:rPr>
                <w:rFonts w:cs="Times New Roman"/>
                <w:color w:val="0D0D0D" w:themeColor="text1" w:themeTint="f2"/>
                <w:sz w:val="20"/>
                <w:szCs w:val="20"/>
              </w:rPr>
              <w:t xml:space="preserve">Муниципальная программа </w:t>
            </w:r>
            <w:r>
              <w:rPr>
                <w:rFonts w:cs="Times New Roman"/>
                <w:sz w:val="20"/>
              </w:rPr>
              <w:t>«Устойчивое развитие сельских территорий в муниципальном образовании «Тереньгульский район» на 2016-2017 годы и на период до 2020 года»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Муниципальная программа «Развитие личных подсобных хозяйств на территории муниципального образования «Тереньгульский район» на 2019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Национальный проект «Малое и среднее предпринимательство и индивидуальная предпринимательская инициатива»</w:t>
            </w:r>
          </w:p>
        </w:tc>
      </w:tr>
      <w:tr>
        <w:trPr>
          <w:trHeight w:val="930"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pacing w:lineRule="auto" w:line="240" w:before="0" w:after="0"/>
              <w:rPr>
                <w:sz w:val="20"/>
                <w:szCs w:val="20"/>
              </w:rPr>
            </w:pPr>
            <w:r>
              <w:rPr>
                <w:sz w:val="20"/>
                <w:szCs w:val="20"/>
              </w:rPr>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1.1. Ежегодное обеспечение среднегодового темпа прироста производства продукции сельского хозяйства в 1,3%.</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Увеличение объёмов производства и улучшение качества продукции животноводства и растениеводства для обеспечения полной загрузки существующих и вводимых в эксплуатацию новых производственных мощностей предприятий пищевой и перерабатывающей промышленности.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Повышение инвестиционной привлекательности отрасли сельского хозяйства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Содействие реализации инвестиционных проектов, находящихся в настоящее время на различных этапах.</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Усиление интеграции сельскохозяйственного производства с другими сферами, а именно: с переработкой, хранением, транспортировкой и реализацией сельскохозяйственной продукции.</w:t>
            </w:r>
          </w:p>
          <w:p>
            <w:pPr>
              <w:pStyle w:val="Normal"/>
              <w:suppressAutoHyphens w:val="false"/>
              <w:spacing w:lineRule="auto" w:line="240" w:before="0" w:after="0"/>
              <w:rPr>
                <w:rFonts w:cs="Times New Roman"/>
                <w:color w:val="0D0D0D" w:themeColor="text1" w:themeTint="f2"/>
                <w:spacing w:val="-4"/>
                <w:sz w:val="20"/>
                <w:szCs w:val="20"/>
              </w:rPr>
            </w:pPr>
            <w:r>
              <w:rPr>
                <w:rFonts w:cs="Times New Roman"/>
                <w:color w:val="0D0D0D" w:themeColor="text1" w:themeTint="f2"/>
                <w:spacing w:val="-4"/>
                <w:sz w:val="20"/>
                <w:szCs w:val="20"/>
              </w:rPr>
              <w:t>5. Увеличение объёмов экспортируемой продукции в натуральном и стоимостном выражении за счёт изменения качественной структуры экспорта в сторону вывоза готовой продукции, а не сельскохозяйственного сырья.</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«Устойчивое развитие сельских территорий в муниципальном образовании «Тереньгульский район» на 2016-2017 годы и на период до 2020 года»</w:t>
            </w:r>
          </w:p>
        </w:tc>
      </w:tr>
      <w:tr>
        <w:trPr>
          <w:trHeight w:val="930"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pacing w:lineRule="auto" w:line="240" w:before="0" w:after="0"/>
              <w:rPr>
                <w:sz w:val="20"/>
                <w:szCs w:val="20"/>
              </w:rPr>
            </w:pPr>
            <w:r>
              <w:rPr>
                <w:sz w:val="20"/>
                <w:szCs w:val="20"/>
              </w:rPr>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1.2. Повышение эффективности и увеличение объёмов производства сельскохозяйственной продукции малыми формами хозяйствования</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Совершенствование системы поддержки субъектов малого и среднего предпринимательства, обеспечивающей условия их (субъектов) устойчивого функционирования.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Повышение социальной эффективности деятельности субъектов малого и среднего предпринимательства путём создания новых рабочих мест.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Стимулирование организации малых форм перерабатывающих производств.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Стимулирование сельскохозяйственных предприятий всех форм к вступлению в кооперацию.</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Содействие реализации продукции кооперации на территории района и соседних муниципальных образований.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Информационно-аналитическая поддержка кооперации.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Создание и развитие экспортно-ориентированных кооперативов.</w:t>
            </w:r>
          </w:p>
          <w:p>
            <w:pPr>
              <w:pStyle w:val="Normal"/>
              <w:suppressAutoHyphens w:val="false"/>
              <w:spacing w:lineRule="auto" w:line="240" w:before="0" w:after="0"/>
              <w:rPr>
                <w:rFonts w:cs="Times New Roman"/>
                <w:color w:val="0D0D0D" w:themeColor="text1" w:themeTint="f2"/>
                <w:spacing w:val="-2"/>
                <w:sz w:val="20"/>
                <w:szCs w:val="20"/>
              </w:rPr>
            </w:pPr>
            <w:r>
              <w:rPr>
                <w:rFonts w:cs="Times New Roman"/>
                <w:color w:val="0D0D0D" w:themeColor="text1" w:themeTint="f2"/>
                <w:spacing w:val="-2"/>
                <w:sz w:val="20"/>
                <w:szCs w:val="20"/>
              </w:rPr>
              <w:t>8. Содействие малому и среднему бизнесу в реализации инновационных проектов, привлечению инвестиций, продвижению инновационной продукции района на внешние рынки, развитию системы информационной поддержки инновационной деятельности сектора АПК.</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«Устойчивое развитие сельских территорий в муниципальном образовании «Тереньгульский район» на 2016-2017 годы и на период до 2020 года».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годы»</w:t>
            </w:r>
          </w:p>
        </w:tc>
      </w:tr>
      <w:tr>
        <w:trPr>
          <w:trHeight w:val="930"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pacing w:lineRule="auto" w:line="240" w:before="0" w:after="0"/>
              <w:rPr>
                <w:sz w:val="20"/>
                <w:szCs w:val="20"/>
              </w:rPr>
            </w:pPr>
            <w:r>
              <w:rPr>
                <w:sz w:val="20"/>
                <w:szCs w:val="20"/>
              </w:rPr>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1.3. Повышение эффективности использования сельскохозяйственных угодий</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Организация работы центров (отделов) мониторинга состояния сельскохозяйственных угодий и методов ведения аграрного производства, усиление контроля за целевым использованием земель сельскохозяйственного назначения.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Вовлечение в оборот неиспользуемых и неэффективно используемых земельных участков.</w:t>
            </w:r>
          </w:p>
          <w:p>
            <w:pPr>
              <w:pStyle w:val="Normal"/>
              <w:suppressAutoHyphens w:val="false"/>
              <w:spacing w:lineRule="auto" w:line="240" w:before="0" w:after="0"/>
              <w:rPr>
                <w:rFonts w:cs="Times New Roman"/>
                <w:color w:val="0D0D0D" w:themeColor="text1" w:themeTint="f2"/>
                <w:spacing w:val="-2"/>
                <w:sz w:val="20"/>
                <w:szCs w:val="20"/>
              </w:rPr>
            </w:pPr>
            <w:r>
              <w:rPr>
                <w:rFonts w:cs="Times New Roman"/>
                <w:color w:val="0D0D0D" w:themeColor="text1" w:themeTint="f2"/>
                <w:spacing w:val="-2"/>
                <w:sz w:val="20"/>
                <w:szCs w:val="20"/>
              </w:rPr>
              <w:t>3. Проведение системной работы по сохранению и повышению плодородия почв.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Внедрение и развитие мелиоративных систем по восстановлению почвы;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Создание условий для оформления прав на земельные участки из земель сельскохозяйственного назначения и включения их в эффективный хозяйственный оборот.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Повышение урожайности основных видов сельскохозяйственных культур за счёт проведения работы по планомерной сортосмене посевного материала путём использования новых высокоурожайных сортов и гибридов, применения новых прогрессивных энергосберегающих технологий, увеличения площади, засеваемой элитными семенами.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«Устойчивое развитие сельских территорий в муниципальном образовании «Тереньгульский район» на 2016-2017 годы и на период до 2020 года».</w:t>
            </w:r>
          </w:p>
        </w:tc>
      </w:tr>
      <w:tr>
        <w:trPr>
          <w:trHeight w:val="930"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pacing w:lineRule="auto" w:line="240" w:before="0" w:after="0"/>
              <w:rPr>
                <w:sz w:val="20"/>
                <w:szCs w:val="20"/>
              </w:rPr>
            </w:pPr>
            <w:r>
              <w:rPr>
                <w:sz w:val="20"/>
                <w:szCs w:val="20"/>
              </w:rPr>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1.4. Доведение к 2030 году уровня среднемесячной номинальной заработной платы в сельском хозяйстве до уровня не ниже 80% от средне областного значения.</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Создание условий по сближению уровня оплаты труда работников, занятых в сельском хозяйстве, со средним его значением по экономике региона для повышения престижности сельскохозяйственного труда и сокращения дефицита квалифицированных кадров в отрасли.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Укрепление трудового потенциала агропромышленного комплекса района путём улучшения профессиональной переподготовки и повышения квалификации руководителей и специалистов агропромышленного комплекса.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Совершенствование профессиональных знаний и навыков кадрового состава в направлении сохранения плодородия почв.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Формирование кадрового резерва руководителей и обучение по альтернативным видам занятости.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Привлечение молодёжи на село.</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«Устойчивое развитие сельских территорий в муниципальном образовании «Тереньгульский район» на 2016-2017 годы и на период до 2020 года».</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pacing w:lineRule="auto" w:line="240" w:before="0" w:after="0"/>
              <w:rPr>
                <w:sz w:val="20"/>
                <w:szCs w:val="20"/>
              </w:rPr>
            </w:pPr>
            <w:r>
              <w:rPr>
                <w:sz w:val="20"/>
                <w:szCs w:val="20"/>
              </w:rPr>
              <w:t>4. Повышение инвестиционной привлекательности</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Увеличение инвестиций в основной капитал (за исключением бюджетных средств) на душу населения до 17,6 тысяч рублей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открытости и доступности для всех инвесторов информации, необходимой для осуществления инвестиционной деятельности.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Увеличение количества инвестиционно-привлекательных земельных участков и площадок путём строительства объектов инженерной инфраструктуры.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Выработка системы льгот и муниципальной поддержки инвестиционной деятельности.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Минимизация административных барьеров при реализации инвестиционных проектов.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Обеспечение инвесторов достаточным количеством квалифицированных кадров для реализации инвестиционных проектов.</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pacing w:lineRule="auto" w:line="240" w:before="0" w:after="0"/>
              <w:rPr>
                <w:sz w:val="20"/>
                <w:szCs w:val="20"/>
              </w:rPr>
            </w:pPr>
            <w:r>
              <w:rPr>
                <w:sz w:val="20"/>
                <w:szCs w:val="20"/>
              </w:rPr>
              <w:t>5. Улучшение предпринимательской среды</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Рост доли занятых в малом и среднем предпринимательстве, включая индивидуальных предпринимателей, в общей численности занятых в экономике Тереньгульского района до 38%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Создание механизмов финансовой поддержки субъектов малого и среднего предпринимательства на территории муниципального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Популяризация и пропаганда предпринимательской деятельности среди жителей разных категорий возрастов.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Информационное и аналитическое сопровождение субъектов малого и среднего предпринимательства по вопросам создания нового бизнеса, мер поддержки, оказываемых на территории района и области.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Развитие новых сфер малого и среднего предпринимательства на территории муниципального района (обрабатывающие производства, гостиницы и рестораны, строительство, туристские и т.д.).</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5. Развитие системы платных услуг в социальной сфере. </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Организация и проведение муниципальных конкурсов бизнес-идей с последующим выдвижением победителей для участия в федеральных и региональных программах и конкурсах.</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Национальный проект «Малое и среднее предпринимательство и индивидуальная предпринимательская инициатива»</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pacing w:lineRule="auto" w:line="240" w:before="0" w:after="0"/>
              <w:rPr>
                <w:sz w:val="20"/>
                <w:szCs w:val="20"/>
              </w:rPr>
            </w:pPr>
            <w:r>
              <w:rPr>
                <w:sz w:val="20"/>
                <w:szCs w:val="20"/>
              </w:rPr>
              <w:t>6. Повышение доходов населения</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Доведение уровня среднемесячной номинальной заработной платы до уровня не ниже 86% от среднеобластного значения к 2030 году.</w:t>
            </w:r>
          </w:p>
        </w:tc>
        <w:tc>
          <w:tcPr>
            <w:tcW w:w="2694" w:type="dxa"/>
            <w:tcBorders/>
            <w:shd w:fill="auto" w:val="clear"/>
          </w:tcPr>
          <w:p>
            <w:pPr>
              <w:pStyle w:val="Normal"/>
              <w:tabs>
                <w:tab w:val="clear" w:pos="708"/>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w:t>
              <w:tab/>
              <w:t>Создание благоприятного инвестиционного климата, привлечение не менее 4 инвесторов, создание не менее 400 новых рабочих мест с уровнем оплаты труда не ниже среднеобластных значений.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2. Обеспечение темпа роста номинальной заработной платы на уровне не ниже 107%. </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Доведение уровня оплаты труда категорий работников, обозначенных в Указе Президента РФ от 07.05.2012 № 597 «О мероприятиях по реализации государственной социальной политики», до целевых значений.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Обеспечить доведение минимального размера оплаты труда работников бюджетной сферы до минимального размера оплаты труда работников внебюджетного сектора экономики и среднего предпринимательства.</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Региональное соглашение между Областным союзом "Федерация профсоюзов Ульяновской области", объединениями работодателей Ульяновской области, Правительством Ульяновской области о минимальной заработной плате в Ульяновской области</w:t>
            </w:r>
          </w:p>
        </w:tc>
      </w:tr>
      <w:tr>
        <w:trPr/>
        <w:tc>
          <w:tcPr>
            <w:tcW w:w="2234"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Развитие инфраструктуры жизнеобеспечения и сбалансированное пространственное развитие</w:t>
            </w:r>
          </w:p>
        </w:tc>
        <w:tc>
          <w:tcPr>
            <w:tcW w:w="2028"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Создание комфортных условий для жизни населения и развития межмуниципального взаимодействия.</w:t>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Развитие инфраструктуры транспорта</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соответствующими федеральным нормативам автомобильными дорогами с твёрдым покрытием субъектов пассажирских и грузовых перевозок на территории Тереньгульского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Обеспечение стандартов безопасности на имеющихся на территории Тереньгульского района транспортных магистралях (разметка, дорожные знаки и указатели, уровень освещения в тёмное время суток).</w:t>
            </w:r>
          </w:p>
        </w:tc>
        <w:tc>
          <w:tcPr>
            <w:tcW w:w="2694" w:type="dxa"/>
            <w:tcBorders/>
            <w:shd w:fill="auto" w:val="clear"/>
          </w:tcPr>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1</w:t>
            </w:r>
            <w:r>
              <w:rPr>
                <w:rFonts w:cs="Times New Roman"/>
                <w:color w:val="0D0D0D" w:themeColor="text1" w:themeTint="f2"/>
                <w:spacing w:val="-2"/>
                <w:sz w:val="20"/>
                <w:szCs w:val="20"/>
              </w:rPr>
              <w:t>. Ремонт автомобильных дорог с твёрдым покрытием, находящихся на территории Тереньгульского района, доведение их состояния до требуемого в соответствии с федеральными нормативами.</w:t>
            </w:r>
          </w:p>
          <w:p>
            <w:pPr>
              <w:pStyle w:val="Normal"/>
              <w:suppressAutoHyphens w:val="false"/>
              <w:spacing w:lineRule="auto" w:line="240" w:before="0" w:after="0"/>
              <w:jc w:val="both"/>
              <w:rPr>
                <w:rFonts w:cs="Times New Roman"/>
                <w:color w:val="0D0D0D" w:themeColor="text1" w:themeTint="f2"/>
                <w:spacing w:val="-2"/>
                <w:sz w:val="20"/>
                <w:szCs w:val="20"/>
              </w:rPr>
            </w:pPr>
            <w:r>
              <w:rPr>
                <w:rFonts w:cs="Times New Roman"/>
                <w:color w:val="0D0D0D" w:themeColor="text1" w:themeTint="f2"/>
                <w:spacing w:val="-2"/>
                <w:sz w:val="20"/>
                <w:szCs w:val="20"/>
              </w:rPr>
              <w:t>2. Увеличение протяжённости дорожной сети местного значения (дорог с грунтовым и щебёночно-гравийным покрытием), приведение их в соответствие федеральным нормативам.</w:t>
            </w:r>
          </w:p>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3. Оборудование пешеходных тротуаров и велодорожек на дорогах общего пользования с твёрдым покрытием в пределах населённых пунктов.</w:t>
            </w:r>
          </w:p>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4.Установка дорожных знаков и указателей на дорогах общего пользования с твёрдым покрытием внутри населённых пунктов и за их пределами.</w:t>
            </w:r>
          </w:p>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5. Обеспечение освещения в ночное время, соответствующего федеральным нормативам, в местах размещения пешеходных переходов на дорогах общего пользования с твёрдым покрытием внутри населённых пунктов.</w:t>
            </w:r>
          </w:p>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6. Обеспечение отрасли дорожного хозяйства необходимой специализированной дорожной техникой.</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транспортной системы муниципального образования «Тереньгульский район» Ульяновской области на 2015 -2019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Национальный проект «Безопасные и качественные автомобильные дороги».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Повышение качества и доступности услуг связи</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уверенным сигналом сотовой связи 100% населения района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Обеспечение охвата населения района широкополосным доступом к информационно-телекоммуникационной сети «Интернет» на уровне 100%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Обеспечение зоны покрытия цифровым телерадиовещанием на территории района на уровне 100%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МО «Тереньгульский район» на 2017 – 2019 гг.</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restart"/>
            <w:tcBorders/>
            <w:shd w:fill="auto" w:val="clear"/>
          </w:tcPr>
          <w:p>
            <w:pPr>
              <w:pStyle w:val="ListParagraph"/>
              <w:numPr>
                <w:ilvl w:val="0"/>
                <w:numId w:val="53"/>
              </w:numPr>
              <w:tabs>
                <w:tab w:val="clear" w:pos="708"/>
                <w:tab w:val="left" w:pos="131" w:leader="none"/>
                <w:tab w:val="left" w:pos="272"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Обеспечение бесперебойной работы жилищно-коммунального комплекса</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Повышение качества жизни населения на основе совершенствования системы жилищно-коммунального хозяйства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Коренная модернизация объектов инженерной инфраструктуры, отвечающих мировым стандартам и экологическим требованиям.</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Развитие магистральной и распределительной газотранспортной инфраструктуры в целях обеспечения природным газом объектов коммунальной энергетики, предприятий бюджетной сферы и жилищного фонда.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Модернизация и реконструкция существующих коммунальных систем с учётом современных норм и требований, предъявляемых к качеству услуг ЖКХ, а также формирование культуры потребления услуг ЖКХ.</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ListParagraph"/>
              <w:tabs>
                <w:tab w:val="clear" w:pos="708"/>
                <w:tab w:val="left" w:pos="131" w:leader="none"/>
                <w:tab w:val="left" w:pos="272"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ListParagraph"/>
              <w:numPr>
                <w:ilvl w:val="1"/>
                <w:numId w:val="54"/>
              </w:numPr>
              <w:suppressAutoHyphens w:val="false"/>
              <w:spacing w:lineRule="auto" w:line="240" w:before="0" w:after="0"/>
              <w:contextualSpacing/>
              <w:rPr>
                <w:rFonts w:cs="Times New Roman"/>
                <w:b/>
                <w:b/>
                <w:color w:val="0D0D0D" w:themeColor="text1" w:themeTint="f2"/>
                <w:sz w:val="20"/>
                <w:szCs w:val="20"/>
              </w:rPr>
            </w:pPr>
            <w:r>
              <w:rPr>
                <w:rFonts w:cs="Times New Roman"/>
                <w:b/>
                <w:color w:val="0D0D0D" w:themeColor="text1" w:themeTint="f2"/>
                <w:sz w:val="20"/>
                <w:szCs w:val="20"/>
              </w:rPr>
              <w:t>Тепло-, газоснабжение: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Комплексная модернизация котельных объектов социальной сферы и жилищного фонда путём перевода данных теплоисточников на более дешёвый и экологичный вид топлива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Проведение работ по строительству и реконструкции сетей теплоснабжения, строительство и проведение капитального ремонта объектов теплоснабжения (котельных).</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Стимулирование модернизации и внедрения инновационных энерго- и ресурсосберегающих технологий в сфере теплоснабжения.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Стимулирование частных инвестиций в жилищно-коммунальную сферу.</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«Содержание и развитие системы образования муниципального образования «Тереньгульский район» на 2019-2021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ListParagraph"/>
              <w:tabs>
                <w:tab w:val="clear" w:pos="708"/>
                <w:tab w:val="left" w:pos="131" w:leader="none"/>
                <w:tab w:val="left" w:pos="272"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ListParagraph"/>
              <w:numPr>
                <w:ilvl w:val="1"/>
                <w:numId w:val="54"/>
              </w:numPr>
              <w:suppressAutoHyphens w:val="false"/>
              <w:spacing w:lineRule="auto" w:line="240" w:before="0" w:after="0"/>
              <w:ind w:left="34" w:hanging="34"/>
              <w:contextualSpacing/>
              <w:rPr>
                <w:rFonts w:cs="Times New Roman"/>
                <w:b/>
                <w:b/>
                <w:color w:val="0D0D0D" w:themeColor="text1" w:themeTint="f2"/>
                <w:sz w:val="20"/>
                <w:szCs w:val="20"/>
              </w:rPr>
            </w:pPr>
            <w:r>
              <w:rPr>
                <w:rFonts w:cs="Times New Roman"/>
                <w:b/>
                <w:color w:val="0D0D0D" w:themeColor="text1" w:themeTint="f2"/>
                <w:sz w:val="20"/>
                <w:szCs w:val="20"/>
              </w:rPr>
              <w:t>Электроснабжение (энергосбережение):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Формирование целостной и эффективной системы управления энергосбережением и повышение энергетической эффективности, обеспечивающей снижение отношения потребления топливно-энергетических ресурсов Тереньгульского района.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Ремонт и модернизация тепловых сетей и уличного освещения.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Обеспечение согласованного развития электрической сети.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Проведение мероприятий, направленных на снижение потерь электрической энергии, модернизацию и повышение энергетической эффективности объектов жилищно-коммунального хозяйства.</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«Энергосбережение и повышение энергетической эффективности на территории муниципального образования «Тереньгульский район» на 2019-2021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ListParagraph"/>
              <w:tabs>
                <w:tab w:val="clear" w:pos="708"/>
                <w:tab w:val="left" w:pos="131" w:leader="none"/>
                <w:tab w:val="left" w:pos="272"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ListParagraph"/>
              <w:numPr>
                <w:ilvl w:val="1"/>
                <w:numId w:val="54"/>
              </w:numPr>
              <w:suppressAutoHyphens w:val="false"/>
              <w:spacing w:lineRule="auto" w:line="240" w:before="0" w:after="0"/>
              <w:contextualSpacing/>
              <w:rPr>
                <w:rFonts w:cs="Times New Roman"/>
                <w:b/>
                <w:b/>
                <w:color w:val="0D0D0D" w:themeColor="text1" w:themeTint="f2"/>
                <w:sz w:val="20"/>
                <w:szCs w:val="20"/>
              </w:rPr>
            </w:pPr>
            <w:r>
              <w:rPr>
                <w:rFonts w:cs="Times New Roman"/>
                <w:b/>
                <w:color w:val="0D0D0D" w:themeColor="text1" w:themeTint="f2"/>
                <w:sz w:val="20"/>
                <w:szCs w:val="20"/>
              </w:rPr>
              <w:t>Водоснабжение: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Повышение уровня жизни населения и качества предоставления коммунальной услуги (водоснабжение) за счёт ремонта, строительства и реконструкции систем водоснабжения.</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населения доброкачественной питьевой водой посредством проведения работ по строительству и реконструкции систем водоснабжения и водоотведения, проведения капитального ремонта коммунальных объектов водоочистных сооружений, артезианских скважин).</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2. Активизация работы по принятию на обслуживание объектов водоснабжения Тереньгульского района на баланс ОГКП «Ульяновский областной водоканал». </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жилищно-коммунального хозяйства в муниципальном образовании «Тереньгульский район» на 2019-2020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Обеспечение безопасности жизнедеятельности, в том числе экологической</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Снизить уровень преступности в 1,5 раза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Снизить уровень распространенности болезней патологической зависимости в 2 раза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3. Снизить количество граждан пострадавших и погибших </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в результате пожаров в 2 раза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Ликвидация несанкционированных свалок на территории района, повышение эффективности обращения с отходами производства и потребления;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Недопущение роста загрязнённости атмосферного воздуха по сравнению с показателями 2017 года.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Вовлечение населения в деятельность по охране общественного порядка.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Организация просветительской и пропагандистской деятельности, направленной на профилактику правонарушений.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Развитие профилактической антинаркотической деятельности.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Противодействие распространению наркомании, токсикомании, алкоголизма.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Обеспечение пожарной безопасности всех населенных пунктов и лесных зон Тереньгульского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Ликвидация мест несанкционированного размещения отходов производства и потребления.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Формированию экологической культуры, ответственного, экономного отношения населения к использованию природных ресурсов и решению экологических проблем</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 на 2019-2021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на 2017-2019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Государственная программа «Охрана окружающей среды и восстановление природных ресурсов в Ульяновской области на 2014 - 2021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Национальный проект «Экология» (региональные проекты «Сохранение лесов», «Комплексная система обращения с ТКО»)</w:t>
            </w:r>
          </w:p>
        </w:tc>
      </w:tr>
    </w:tbl>
    <w:p>
      <w:pPr>
        <w:sectPr>
          <w:headerReference w:type="default" r:id="rId40"/>
          <w:type w:val="nextPage"/>
          <w:pgSz w:orient="landscape" w:w="16838" w:h="11906"/>
          <w:pgMar w:left="1134" w:right="1134" w:header="709" w:top="766" w:footer="0" w:bottom="1701" w:gutter="0"/>
          <w:pgNumType w:fmt="decimal"/>
          <w:formProt w:val="false"/>
          <w:textDirection w:val="lrTb"/>
          <w:docGrid w:type="default" w:linePitch="360" w:charSpace="0"/>
        </w:sectPr>
      </w:pPr>
    </w:p>
    <w:p>
      <w:pPr>
        <w:pStyle w:val="01"/>
        <w:jc w:val="right"/>
        <w:rPr>
          <w:b w:val="false"/>
          <w:b w:val="false"/>
        </w:rPr>
      </w:pPr>
      <w:bookmarkStart w:id="70" w:name="_Toc4405035"/>
      <w:r>
        <w:rPr>
          <w:b w:val="false"/>
        </w:rPr>
        <w:t>Приложение 2</w:t>
      </w:r>
      <w:bookmarkEnd w:id="70"/>
    </w:p>
    <w:p>
      <w:pPr>
        <w:pStyle w:val="01"/>
        <w:jc w:val="right"/>
        <w:rPr/>
      </w:pPr>
      <w:r>
        <w:rPr/>
      </w:r>
    </w:p>
    <w:p>
      <w:pPr>
        <w:pStyle w:val="01"/>
        <w:rPr/>
      </w:pPr>
      <w:bookmarkStart w:id="71" w:name="_Toc4405036"/>
      <w:r>
        <w:rPr/>
        <w:t>ИНФОРМАЦИЯ О МУНИЦИПАЛЬНЫХ ПРОГРАММАХ ТЕРЕНЬГУЛЬСКОГО РАЙОНА, УТВЕРЖДАЕМЫХ В ЦЕЛЯХ РЕАЛИЗАЦИИ СТРАТЕГИИ</w:t>
      </w:r>
      <w:bookmarkEnd w:id="71"/>
    </w:p>
    <w:p>
      <w:pPr>
        <w:pStyle w:val="01"/>
        <w:rPr/>
      </w:pPr>
      <w:r>
        <w:rPr/>
      </w:r>
    </w:p>
    <w:tbl>
      <w:tblPr>
        <w:tblW w:w="5000" w:type="pct"/>
        <w:jc w:val="left"/>
        <w:tblInd w:w="-5" w:type="dxa"/>
        <w:tblCellMar>
          <w:top w:w="0" w:type="dxa"/>
          <w:left w:w="103" w:type="dxa"/>
          <w:bottom w:w="0" w:type="dxa"/>
          <w:right w:w="108" w:type="dxa"/>
        </w:tblCellMar>
        <w:tblLook w:noVBand="0" w:val="01e0" w:noHBand="0" w:lastColumn="1" w:firstColumn="1" w:lastRow="1" w:firstRow="1"/>
      </w:tblPr>
      <w:tblGrid>
        <w:gridCol w:w="456"/>
        <w:gridCol w:w="5355"/>
        <w:gridCol w:w="3827"/>
      </w:tblGrid>
      <w:tr>
        <w:trPr>
          <w:tblHeader w:val="true"/>
        </w:trPr>
        <w:tc>
          <w:tcPr>
            <w:tcW w:w="4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ind w:left="-108" w:right="-108" w:hanging="0"/>
              <w:jc w:val="center"/>
              <w:rPr>
                <w:rFonts w:cs="Times New Roman"/>
                <w:b/>
                <w:b/>
              </w:rPr>
            </w:pPr>
            <w:r>
              <w:rPr>
                <w:rFonts w:cs="Times New Roman"/>
                <w:b/>
              </w:rPr>
              <w:t xml:space="preserve">№ </w:t>
            </w:r>
            <w:r>
              <w:rPr>
                <w:rFonts w:cs="Times New Roman"/>
                <w:b/>
              </w:rPr>
              <w:t>п/п</w:t>
            </w:r>
          </w:p>
        </w:tc>
        <w:tc>
          <w:tcPr>
            <w:tcW w:w="535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ind w:left="-108" w:right="-108" w:hanging="0"/>
              <w:jc w:val="center"/>
              <w:rPr>
                <w:rFonts w:cs="Times New Roman"/>
                <w:b/>
                <w:b/>
              </w:rPr>
            </w:pPr>
            <w:r>
              <w:rPr>
                <w:rFonts w:cs="Times New Roman"/>
                <w:b/>
              </w:rPr>
              <w:t>Наименование муниципальной программы</w:t>
            </w:r>
          </w:p>
        </w:tc>
        <w:tc>
          <w:tcPr>
            <w:tcW w:w="382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ind w:left="-108" w:right="-108" w:hanging="0"/>
              <w:jc w:val="center"/>
              <w:rPr>
                <w:rFonts w:cs="Times New Roman"/>
                <w:b/>
                <w:b/>
              </w:rPr>
            </w:pPr>
            <w:r>
              <w:rPr>
                <w:rFonts w:cs="Times New Roman"/>
                <w:b/>
              </w:rPr>
              <w:t>Нормативный документ</w:t>
            </w:r>
          </w:p>
          <w:p>
            <w:pPr>
              <w:pStyle w:val="Normal"/>
              <w:ind w:left="-108" w:right="-108" w:hanging="0"/>
              <w:jc w:val="center"/>
              <w:rPr>
                <w:rFonts w:cs="Times New Roman"/>
                <w:b/>
                <w:b/>
              </w:rPr>
            </w:pPr>
            <w:r>
              <w:rPr>
                <w:rFonts w:cs="Times New Roman"/>
                <w:b/>
              </w:rPr>
              <w:t>об утверждении муниципальной программы</w:t>
            </w:r>
          </w:p>
        </w:tc>
      </w:tr>
    </w:tbl>
    <w:p>
      <w:pPr>
        <w:pStyle w:val="Normal"/>
        <w:spacing w:lineRule="auto" w:line="48"/>
        <w:rPr>
          <w:sz w:val="2"/>
        </w:rPr>
      </w:pPr>
      <w:r>
        <w:rPr>
          <w:sz w:val="2"/>
        </w:rPr>
      </w:r>
    </w:p>
    <w:tbl>
      <w:tblPr>
        <w:tblW w:w="5000" w:type="pct"/>
        <w:jc w:val="left"/>
        <w:tblInd w:w="-5" w:type="dxa"/>
        <w:tblCellMar>
          <w:top w:w="0" w:type="dxa"/>
          <w:left w:w="103" w:type="dxa"/>
          <w:bottom w:w="0" w:type="dxa"/>
          <w:right w:w="108" w:type="dxa"/>
        </w:tblCellMar>
        <w:tblLook w:noVBand="0" w:val="01e0" w:noHBand="0" w:lastColumn="1" w:firstColumn="1" w:lastRow="1" w:firstRow="1"/>
      </w:tblPr>
      <w:tblGrid>
        <w:gridCol w:w="456"/>
        <w:gridCol w:w="5355"/>
        <w:gridCol w:w="3827"/>
      </w:tblGrid>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Normal"/>
              <w:ind w:left="-108" w:right="-108" w:hanging="0"/>
              <w:jc w:val="center"/>
              <w:rPr>
                <w:rFonts w:cs="Times New Roman"/>
              </w:rPr>
            </w:pPr>
            <w:r>
              <w:rPr>
                <w:rFonts w:cs="Times New Roman"/>
              </w:rPr>
              <w:t>1</w:t>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Normal"/>
              <w:ind w:left="-108" w:right="-108" w:hanging="0"/>
              <w:jc w:val="center"/>
              <w:rPr>
                <w:rFonts w:cs="Times New Roman"/>
              </w:rPr>
            </w:pPr>
            <w:r>
              <w:rPr>
                <w:rFonts w:cs="Times New Roman"/>
              </w:rPr>
              <w:t>2</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ind w:left="-108" w:right="-108" w:hanging="0"/>
              <w:jc w:val="center"/>
              <w:rPr>
                <w:rFonts w:cs="Times New Roman"/>
              </w:rPr>
            </w:pPr>
            <w:r>
              <w:rPr>
                <w:rFonts w:cs="Times New Roman"/>
              </w:rPr>
              <w:t>3</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физической культуры и спорта в муниципальном образовании «Тереньгульский район» на 2017-2019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ind w:left="-108" w:right="-108" w:hanging="0"/>
              <w:jc w:val="center"/>
              <w:rPr>
                <w:rFonts w:cs="Times New Roman"/>
              </w:rPr>
            </w:pPr>
            <w:r>
              <w:rPr>
                <w:rFonts w:cs="Times New Roman"/>
              </w:rPr>
              <w:t>Постановление Администрации муниципального образования «Тереньгульский район» Ульяновской области от 19.10.2016</w:t>
            </w:r>
          </w:p>
          <w:p>
            <w:pPr>
              <w:pStyle w:val="Normal"/>
              <w:ind w:left="-108" w:right="-108" w:hanging="0"/>
              <w:jc w:val="center"/>
              <w:rPr/>
            </w:pPr>
            <w:r>
              <w:rPr>
                <w:rFonts w:cs="Times New Roman"/>
              </w:rPr>
              <w:t xml:space="preserve"> № </w:t>
            </w:r>
            <w:r>
              <w:rPr>
                <w:rFonts w:cs="Times New Roman"/>
              </w:rPr>
              <w:t>463</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«Молодёжь» на 2018-2020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 xml:space="preserve">Постановление Администрации муниципального образования «Тереньгульский район» Ульяновской области от 20.12.2017 № 489 </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«Содержание и развитие системы образования муниципального образования «Тереньгульский район» на 2019-2021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 xml:space="preserve">Постановление Администрации муниципального образования «Тереньгульский район» Ульяновской области от 25.12.2018№ 621 </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«Культура муниципального образования «Тереньгульский район» на 2018-2020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02.12.2017 №454</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муниципального управления в муниципальном образовании «Тереньгульский район» на 2018-2020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 xml:space="preserve">Постановление Администрации муниципального образования «Тереньгульский район» Ульяновской области от 16.11.2017 № 441 </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малого и среднего предпринимательства в муниципальном образовании «Тереньгульский район» Ульяновской области на 2019 - 2021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02.10.2018 № 471</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транспортной системы муниципального образования «Тереньгульский район» Ульяновской области на 2015 -2019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05.04.2017 № 134</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 на 2019-2021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09.09.2015 № 531</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«Противодействие коррупции в муниципальном образовании «Тереньгульский район» Ульяновской области на 2019-2021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13.12.2018 № 548</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«Энергосбережение и повышение энергетической эффективности на территории муниципального образования «Тереньгульский район» на 2019-2020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17.09.2018 № 446</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на 2017-2019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30.12.2016 № 617</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МО «Тереньгульский район» на 2017 – 2019 гг.</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15.02.2017 № 55</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«Гражданское общество и государственная национальная политика на территории муниципального образования «Тереньгульский район» на 2019-2021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11.01.2019 № 06</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жилищно-коммунального хозяйства в муниципальном образовании «Тереньгульский район» на 2019-2020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highlight w:val="yellow"/>
              </w:rPr>
            </w:pPr>
            <w:r>
              <w:rPr>
                <w:rFonts w:cs="Times New Roman"/>
              </w:rPr>
              <w:t>Постановление Администрации муниципального образования «Тереньгульский район» Ульяновской области от 16.08.2018 № 374</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благоустройства территорий населенных пунктов муниципального образования «Тереньгульский район» Ульяновской области на 2016-2020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14.10.2015 № 608</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«Устойчивое развитие сельских территорий в муниципальном образовании «Тереньгульский район» на 2016-2017 годы и на период до 2020 года»</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12.10.2015 № 604</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«Управление муниципальными финансами муниципального образования «Тереньгульский район» Ульяновской области» на 2018-2022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14.08.2017 № 341</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туризма на территории  муниципального образования «Тереньгульский район» на 2018-2020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08.12.2017 № 471</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«Обеспечение жильём молодых семей» муниципального образования «Тереньгульский район» на 2018-2020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02.12.2017 № 457</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«Муниципальное управление» на 2019 — 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highlight w:val="yellow"/>
              </w:rPr>
            </w:pPr>
            <w:r>
              <w:rPr>
                <w:rFonts w:cs="Times New Roman"/>
              </w:rPr>
              <w:t>Постановление Администрации муниципального образования «Тереньгульский район» Ульяновской области от 08.10.2018 № 473</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«Материально-техническое обеспечение деятельности органов местного самоуправления муниципального образования «Тереньгульский район» на 2019-2021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highlight w:val="yellow"/>
              </w:rPr>
            </w:pPr>
            <w:r>
              <w:rPr>
                <w:rFonts w:cs="Times New Roman"/>
              </w:rPr>
              <w:t>Постановление Администрации муниципального образования «Тереньгульский район» Ульяновской области от 02.08.2018 № 356</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«Управление муниципальным имуществом и регулирование земельных отношений муниципального образования «Тереньгульский район» Ульяновской области на 2019 — 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highlight w:val="yellow"/>
              </w:rPr>
            </w:pPr>
            <w:r>
              <w:rPr>
                <w:rFonts w:cs="Times New Roman"/>
              </w:rPr>
              <w:t>Постановление Администрации муниципального образования «Тереньгульский район» Ульяновской области от 28.12.2018  № 640</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«Развитие личных подсобных хозяйств на территории муниципального образования «Тереньгульский район» на 2019 — 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28.12.2018 № 642</w:t>
            </w:r>
          </w:p>
        </w:tc>
      </w:tr>
      <w:tr>
        <w:trPr/>
        <w:tc>
          <w:tcPr>
            <w:tcW w:w="456" w:type="dxa"/>
            <w:tcBorders>
              <w:top w:val="single" w:sz="4" w:space="0" w:color="00000A"/>
              <w:left w:val="single" w:sz="4" w:space="0" w:color="00000A"/>
              <w:bottom w:val="single" w:sz="4" w:space="0" w:color="00000A"/>
              <w:right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tcBorders>
            <w:shd w:fill="auto" w:val="clear"/>
          </w:tcPr>
          <w:p>
            <w:pPr>
              <w:pStyle w:val="ListParagraph"/>
              <w:ind w:left="0" w:hanging="0"/>
              <w:jc w:val="both"/>
              <w:rPr>
                <w:rFonts w:cs="Times New Roman"/>
              </w:rPr>
            </w:pPr>
            <w:r>
              <w:rPr>
                <w:rFonts w:cs="Times New Roman"/>
              </w:rPr>
              <w:t>«Забота» на 2019-2021 годы»</w:t>
            </w:r>
          </w:p>
        </w:tc>
        <w:tc>
          <w:tcPr>
            <w:tcW w:w="3827" w:type="dxa"/>
            <w:tcBorders>
              <w:top w:val="single" w:sz="4" w:space="0" w:color="00000A"/>
              <w:left w:val="single" w:sz="4" w:space="0" w:color="00000A"/>
              <w:bottom w:val="single" w:sz="4" w:space="0" w:color="00000A"/>
              <w:right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11.01.2019 № 05</w:t>
            </w:r>
          </w:p>
        </w:tc>
      </w:tr>
    </w:tbl>
    <w:p>
      <w:pPr>
        <w:pStyle w:val="Normal"/>
        <w:rPr/>
      </w:pPr>
      <w:r>
        <w:rPr/>
      </w:r>
    </w:p>
    <w:p>
      <w:pPr>
        <w:pStyle w:val="Normal"/>
        <w:suppressAutoHyphens w:val="false"/>
        <w:spacing w:lineRule="auto" w:line="276" w:before="0" w:after="200"/>
        <w:rPr>
          <w:rFonts w:eastAsia="" w:eastAsiaTheme="majorEastAsia"/>
        </w:rPr>
      </w:pPr>
      <w:r>
        <w:rPr>
          <w:rFonts w:eastAsia="" w:eastAsiaTheme="majorEastAsia"/>
        </w:rPr>
      </w:r>
      <w:r>
        <w:br w:type="page"/>
      </w:r>
    </w:p>
    <w:p>
      <w:pPr>
        <w:pStyle w:val="01"/>
        <w:jc w:val="right"/>
        <w:rPr>
          <w:b w:val="false"/>
          <w:b w:val="false"/>
        </w:rPr>
      </w:pPr>
      <w:bookmarkStart w:id="72" w:name="_Toc4405037"/>
      <w:r>
        <w:rPr>
          <w:b w:val="false"/>
        </w:rPr>
        <w:t>Приложение 3</w:t>
      </w:r>
      <w:bookmarkEnd w:id="72"/>
    </w:p>
    <w:p>
      <w:pPr>
        <w:pStyle w:val="01"/>
        <w:rPr/>
      </w:pPr>
      <w:bookmarkStart w:id="73" w:name="_Toc4405038"/>
      <w:r>
        <w:rPr/>
        <w:t>ЦЕЛЕВЫЕ ПОКАЗАТЕЛИ</w:t>
        <w:br/>
        <w:t>СТРАТЕГИИ СОЦИАЛЬНО-ЭКОНОМИЧЕСКОГО РАЗВИТИЯ</w:t>
        <w:br/>
        <w:t>ТЕРЕНЬГУЛЬСКОГО РАЙОНА ДО 2030 ГОДА</w:t>
      </w:r>
      <w:bookmarkEnd w:id="73"/>
    </w:p>
    <w:p>
      <w:pPr>
        <w:pStyle w:val="Normal"/>
        <w:suppressAutoHyphens w:val="false"/>
        <w:spacing w:lineRule="auto" w:line="276" w:before="0" w:after="200"/>
        <w:rPr/>
      </w:pPr>
      <w:r>
        <w:rPr/>
      </w:r>
    </w:p>
    <w:tbl>
      <w:tblPr>
        <w:tblStyle w:val="af1"/>
        <w:tblW w:w="5000" w:type="pct"/>
        <w:jc w:val="left"/>
        <w:tblInd w:w="0" w:type="dxa"/>
        <w:tblCellMar>
          <w:top w:w="0" w:type="dxa"/>
          <w:left w:w="108" w:type="dxa"/>
          <w:bottom w:w="0" w:type="dxa"/>
          <w:right w:w="108" w:type="dxa"/>
        </w:tblCellMar>
        <w:tblLook w:noVBand="1" w:val="04a0" w:noHBand="0" w:lastColumn="0" w:firstColumn="1" w:lastRow="0" w:firstRow="1"/>
      </w:tblPr>
      <w:tblGrid>
        <w:gridCol w:w="685"/>
        <w:gridCol w:w="5133"/>
        <w:gridCol w:w="1390"/>
        <w:gridCol w:w="832"/>
        <w:gridCol w:w="833"/>
        <w:gridCol w:w="764"/>
      </w:tblGrid>
      <w:tr>
        <w:trPr/>
        <w:tc>
          <w:tcPr>
            <w:tcW w:w="685" w:type="dxa"/>
            <w:tcBorders/>
            <w:shd w:fill="auto" w:val="clear"/>
          </w:tcPr>
          <w:p>
            <w:pPr>
              <w:pStyle w:val="Normal"/>
              <w:spacing w:lineRule="auto" w:line="240" w:before="0" w:after="0"/>
              <w:jc w:val="center"/>
              <w:rPr/>
            </w:pPr>
            <w:r>
              <w:rPr/>
              <w:t>№</w:t>
            </w:r>
          </w:p>
          <w:p>
            <w:pPr>
              <w:pStyle w:val="Normal"/>
              <w:spacing w:lineRule="auto" w:line="240" w:before="0" w:after="0"/>
              <w:jc w:val="center"/>
              <w:rPr/>
            </w:pPr>
            <w:r>
              <w:rPr/>
              <w:t>п/п</w:t>
            </w:r>
          </w:p>
        </w:tc>
        <w:tc>
          <w:tcPr>
            <w:tcW w:w="5133" w:type="dxa"/>
            <w:tcBorders/>
            <w:shd w:fill="auto" w:val="clear"/>
            <w:vAlign w:val="center"/>
          </w:tcPr>
          <w:p>
            <w:pPr>
              <w:pStyle w:val="Normal"/>
              <w:spacing w:lineRule="auto" w:line="240" w:before="0" w:after="0"/>
              <w:jc w:val="center"/>
              <w:rPr/>
            </w:pPr>
            <w:r>
              <w:rPr/>
              <w:t>Показатель</w:t>
            </w:r>
          </w:p>
        </w:tc>
        <w:tc>
          <w:tcPr>
            <w:tcW w:w="1390" w:type="dxa"/>
            <w:tcBorders/>
            <w:shd w:fill="auto" w:val="clear"/>
            <w:vAlign w:val="center"/>
          </w:tcPr>
          <w:p>
            <w:pPr>
              <w:pStyle w:val="Normal"/>
              <w:spacing w:lineRule="auto" w:line="240" w:before="0" w:after="0"/>
              <w:jc w:val="center"/>
              <w:rPr/>
            </w:pPr>
            <w:r>
              <w:rPr/>
              <w:t>2017</w:t>
            </w:r>
          </w:p>
          <w:p>
            <w:pPr>
              <w:pStyle w:val="Normal"/>
              <w:spacing w:lineRule="auto" w:line="240" w:before="0" w:after="0"/>
              <w:jc w:val="center"/>
              <w:rPr/>
            </w:pPr>
            <w:r>
              <w:rPr/>
              <w:t>(базовый)</w:t>
            </w:r>
          </w:p>
        </w:tc>
        <w:tc>
          <w:tcPr>
            <w:tcW w:w="832" w:type="dxa"/>
            <w:tcBorders/>
            <w:shd w:fill="auto" w:val="clear"/>
            <w:vAlign w:val="center"/>
          </w:tcPr>
          <w:p>
            <w:pPr>
              <w:pStyle w:val="Normal"/>
              <w:spacing w:lineRule="auto" w:line="240" w:before="0" w:after="0"/>
              <w:jc w:val="center"/>
              <w:rPr/>
            </w:pPr>
            <w:r>
              <w:rPr/>
              <w:t>2020</w:t>
            </w:r>
          </w:p>
        </w:tc>
        <w:tc>
          <w:tcPr>
            <w:tcW w:w="833" w:type="dxa"/>
            <w:tcBorders/>
            <w:shd w:fill="auto" w:val="clear"/>
            <w:vAlign w:val="center"/>
          </w:tcPr>
          <w:p>
            <w:pPr>
              <w:pStyle w:val="Normal"/>
              <w:spacing w:lineRule="auto" w:line="240" w:before="0" w:after="0"/>
              <w:jc w:val="center"/>
              <w:rPr/>
            </w:pPr>
            <w:r>
              <w:rPr/>
              <w:t>2024</w:t>
            </w:r>
          </w:p>
        </w:tc>
        <w:tc>
          <w:tcPr>
            <w:tcW w:w="764" w:type="dxa"/>
            <w:tcBorders/>
            <w:shd w:fill="auto" w:val="clear"/>
            <w:vAlign w:val="center"/>
          </w:tcPr>
          <w:p>
            <w:pPr>
              <w:pStyle w:val="Normal"/>
              <w:spacing w:lineRule="auto" w:line="240" w:before="0" w:after="0"/>
              <w:jc w:val="center"/>
              <w:rPr/>
            </w:pPr>
            <w:r>
              <w:rPr/>
              <w:t>2030</w:t>
            </w:r>
          </w:p>
        </w:tc>
      </w:tr>
      <w:tr>
        <w:trPr/>
        <w:tc>
          <w:tcPr>
            <w:tcW w:w="9637" w:type="dxa"/>
            <w:gridSpan w:val="6"/>
            <w:tcBorders/>
            <w:shd w:fill="auto" w:val="clear"/>
          </w:tcPr>
          <w:p>
            <w:pPr>
              <w:pStyle w:val="Normal"/>
              <w:spacing w:lineRule="auto" w:line="240" w:before="0" w:after="0"/>
              <w:jc w:val="center"/>
              <w:rPr>
                <w:b/>
                <w:b/>
              </w:rPr>
            </w:pPr>
            <w:bookmarkStart w:id="74" w:name="_Toc4084449"/>
            <w:r>
              <w:rPr>
                <w:rFonts w:eastAsia="Calibri"/>
                <w:b/>
                <w:bCs/>
              </w:rPr>
              <w:t>1.</w:t>
            </w:r>
            <w:r>
              <w:rPr>
                <w:b/>
              </w:rPr>
              <w:t xml:space="preserve"> РАЗВИТИЕ ЧЕЛОВЕЧЕСКОГО КАПИТАЛА</w:t>
            </w:r>
            <w:bookmarkEnd w:id="74"/>
            <w:r>
              <w:rPr>
                <w:b/>
              </w:rPr>
              <w:t xml:space="preserve"> </w:t>
            </w:r>
            <w:bookmarkStart w:id="75" w:name="_Toc4084450"/>
            <w:r>
              <w:rPr>
                <w:b/>
              </w:rPr>
              <w:t>И СОЦИАЛЬНОЙ СФЕРЫ</w:t>
            </w:r>
            <w:bookmarkEnd w:id="75"/>
          </w:p>
        </w:tc>
      </w:tr>
      <w:tr>
        <w:trPr/>
        <w:tc>
          <w:tcPr>
            <w:tcW w:w="9637" w:type="dxa"/>
            <w:gridSpan w:val="6"/>
            <w:tcBorders/>
            <w:shd w:fill="auto" w:val="clear"/>
          </w:tcPr>
          <w:p>
            <w:pPr>
              <w:pStyle w:val="ListParagraph"/>
              <w:numPr>
                <w:ilvl w:val="1"/>
                <w:numId w:val="48"/>
              </w:numPr>
              <w:spacing w:lineRule="auto" w:line="240" w:before="0" w:after="0"/>
              <w:contextualSpacing/>
              <w:jc w:val="center"/>
              <w:rPr>
                <w:b/>
                <w:b/>
              </w:rPr>
            </w:pPr>
            <w:r>
              <w:rPr>
                <w:b/>
              </w:rPr>
              <w:t>Улучшение демографической ситуации</w:t>
            </w:r>
          </w:p>
        </w:tc>
      </w:tr>
      <w:tr>
        <w:trPr/>
        <w:tc>
          <w:tcPr>
            <w:tcW w:w="685" w:type="dxa"/>
            <w:tcBorders/>
            <w:shd w:fill="auto" w:val="clear"/>
          </w:tcPr>
          <w:p>
            <w:pPr>
              <w:pStyle w:val="ListParagraph"/>
              <w:numPr>
                <w:ilvl w:val="0"/>
                <w:numId w:val="55"/>
              </w:numPr>
              <w:tabs>
                <w:tab w:val="clear" w:pos="708"/>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Численность населения, тыс. чел.</w:t>
            </w:r>
          </w:p>
        </w:tc>
        <w:tc>
          <w:tcPr>
            <w:tcW w:w="1390" w:type="dxa"/>
            <w:tcBorders/>
            <w:shd w:fill="auto" w:val="clear"/>
            <w:vAlign w:val="center"/>
          </w:tcPr>
          <w:p>
            <w:pPr>
              <w:pStyle w:val="Normal"/>
              <w:spacing w:lineRule="auto" w:line="240" w:before="0" w:after="0"/>
              <w:rPr/>
            </w:pPr>
            <w:r>
              <w:rPr/>
              <w:t>17,7</w:t>
            </w:r>
          </w:p>
        </w:tc>
        <w:tc>
          <w:tcPr>
            <w:tcW w:w="832" w:type="dxa"/>
            <w:tcBorders/>
            <w:shd w:fill="auto" w:val="clear"/>
            <w:vAlign w:val="center"/>
          </w:tcPr>
          <w:p>
            <w:pPr>
              <w:pStyle w:val="Normal"/>
              <w:spacing w:lineRule="auto" w:line="240" w:before="0" w:after="0"/>
              <w:rPr/>
            </w:pPr>
            <w:r>
              <w:rPr/>
              <w:t>16,8</w:t>
            </w:r>
          </w:p>
        </w:tc>
        <w:tc>
          <w:tcPr>
            <w:tcW w:w="833" w:type="dxa"/>
            <w:tcBorders/>
            <w:shd w:fill="auto" w:val="clear"/>
            <w:vAlign w:val="center"/>
          </w:tcPr>
          <w:p>
            <w:pPr>
              <w:pStyle w:val="Normal"/>
              <w:spacing w:lineRule="auto" w:line="240" w:before="0" w:after="0"/>
              <w:rPr/>
            </w:pPr>
            <w:r>
              <w:rPr/>
              <w:t>16,5</w:t>
            </w:r>
          </w:p>
        </w:tc>
        <w:tc>
          <w:tcPr>
            <w:tcW w:w="764" w:type="dxa"/>
            <w:tcBorders/>
            <w:shd w:fill="auto" w:val="clear"/>
            <w:vAlign w:val="center"/>
          </w:tcPr>
          <w:p>
            <w:pPr>
              <w:pStyle w:val="Normal"/>
              <w:spacing w:lineRule="auto" w:line="240" w:before="0" w:after="0"/>
              <w:rPr/>
            </w:pPr>
            <w:r>
              <w:rPr/>
              <w:t>15,8</w:t>
            </w:r>
          </w:p>
        </w:tc>
      </w:tr>
      <w:tr>
        <w:trPr/>
        <w:tc>
          <w:tcPr>
            <w:tcW w:w="685" w:type="dxa"/>
            <w:tcBorders/>
            <w:shd w:fill="auto" w:val="clear"/>
          </w:tcPr>
          <w:p>
            <w:pPr>
              <w:pStyle w:val="ListParagraph"/>
              <w:numPr>
                <w:ilvl w:val="0"/>
                <w:numId w:val="55"/>
              </w:numPr>
              <w:tabs>
                <w:tab w:val="clear" w:pos="708"/>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Коэффициент рождаемости на 1000 чел. населения</w:t>
            </w:r>
          </w:p>
        </w:tc>
        <w:tc>
          <w:tcPr>
            <w:tcW w:w="1390" w:type="dxa"/>
            <w:tcBorders/>
            <w:shd w:fill="auto" w:val="clear"/>
            <w:vAlign w:val="center"/>
          </w:tcPr>
          <w:p>
            <w:pPr>
              <w:pStyle w:val="Normal"/>
              <w:spacing w:lineRule="auto" w:line="240" w:before="0" w:after="0"/>
              <w:rPr/>
            </w:pPr>
            <w:r>
              <w:rPr/>
              <w:t>8,7</w:t>
            </w:r>
          </w:p>
        </w:tc>
        <w:tc>
          <w:tcPr>
            <w:tcW w:w="832" w:type="dxa"/>
            <w:tcBorders/>
            <w:shd w:fill="auto" w:val="clear"/>
            <w:vAlign w:val="center"/>
          </w:tcPr>
          <w:p>
            <w:pPr>
              <w:pStyle w:val="Normal"/>
              <w:spacing w:lineRule="auto" w:line="240" w:before="0" w:after="0"/>
              <w:rPr/>
            </w:pPr>
            <w:r>
              <w:rPr/>
              <w:t>8,7</w:t>
            </w:r>
          </w:p>
        </w:tc>
        <w:tc>
          <w:tcPr>
            <w:tcW w:w="833" w:type="dxa"/>
            <w:tcBorders/>
            <w:shd w:fill="auto" w:val="clear"/>
            <w:vAlign w:val="center"/>
          </w:tcPr>
          <w:p>
            <w:pPr>
              <w:pStyle w:val="Normal"/>
              <w:spacing w:lineRule="auto" w:line="240" w:before="0" w:after="0"/>
              <w:rPr/>
            </w:pPr>
            <w:r>
              <w:rPr/>
              <w:t>8,7</w:t>
            </w:r>
          </w:p>
        </w:tc>
        <w:tc>
          <w:tcPr>
            <w:tcW w:w="764" w:type="dxa"/>
            <w:tcBorders/>
            <w:shd w:fill="auto" w:val="clear"/>
            <w:vAlign w:val="center"/>
          </w:tcPr>
          <w:p>
            <w:pPr>
              <w:pStyle w:val="Normal"/>
              <w:spacing w:lineRule="auto" w:line="240" w:before="0" w:after="0"/>
              <w:rPr/>
            </w:pPr>
            <w:r>
              <w:rPr/>
              <w:t>8,7</w:t>
            </w:r>
          </w:p>
        </w:tc>
      </w:tr>
      <w:tr>
        <w:trPr/>
        <w:tc>
          <w:tcPr>
            <w:tcW w:w="685" w:type="dxa"/>
            <w:tcBorders/>
            <w:shd w:fill="auto" w:val="clear"/>
          </w:tcPr>
          <w:p>
            <w:pPr>
              <w:pStyle w:val="ListParagraph"/>
              <w:numPr>
                <w:ilvl w:val="0"/>
                <w:numId w:val="55"/>
              </w:numPr>
              <w:tabs>
                <w:tab w:val="clear" w:pos="708"/>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Коэффициент смертности на 1000 чел. населения</w:t>
            </w:r>
          </w:p>
        </w:tc>
        <w:tc>
          <w:tcPr>
            <w:tcW w:w="1390" w:type="dxa"/>
            <w:tcBorders/>
            <w:shd w:fill="auto" w:val="clear"/>
            <w:vAlign w:val="center"/>
          </w:tcPr>
          <w:p>
            <w:pPr>
              <w:pStyle w:val="Normal"/>
              <w:spacing w:lineRule="auto" w:line="240" w:before="0" w:after="0"/>
              <w:rPr/>
            </w:pPr>
            <w:r>
              <w:rPr/>
              <w:t>14,6</w:t>
            </w:r>
          </w:p>
        </w:tc>
        <w:tc>
          <w:tcPr>
            <w:tcW w:w="832" w:type="dxa"/>
            <w:tcBorders/>
            <w:shd w:fill="auto" w:val="clear"/>
            <w:vAlign w:val="center"/>
          </w:tcPr>
          <w:p>
            <w:pPr>
              <w:pStyle w:val="Normal"/>
              <w:spacing w:lineRule="auto" w:line="240" w:before="0" w:after="0"/>
              <w:rPr/>
            </w:pPr>
            <w:r>
              <w:rPr/>
              <w:t>14,3</w:t>
            </w:r>
          </w:p>
        </w:tc>
        <w:tc>
          <w:tcPr>
            <w:tcW w:w="833" w:type="dxa"/>
            <w:tcBorders/>
            <w:shd w:fill="auto" w:val="clear"/>
            <w:vAlign w:val="center"/>
          </w:tcPr>
          <w:p>
            <w:pPr>
              <w:pStyle w:val="Normal"/>
              <w:spacing w:lineRule="auto" w:line="240" w:before="0" w:after="0"/>
              <w:rPr/>
            </w:pPr>
            <w:r>
              <w:rPr/>
              <w:t>13,9</w:t>
            </w:r>
          </w:p>
        </w:tc>
        <w:tc>
          <w:tcPr>
            <w:tcW w:w="764" w:type="dxa"/>
            <w:tcBorders/>
            <w:shd w:fill="auto" w:val="clear"/>
            <w:vAlign w:val="center"/>
          </w:tcPr>
          <w:p>
            <w:pPr>
              <w:pStyle w:val="Normal"/>
              <w:spacing w:lineRule="auto" w:line="240" w:before="0" w:after="0"/>
              <w:rPr/>
            </w:pPr>
            <w:r>
              <w:rPr/>
              <w:t>13,3</w:t>
            </w:r>
          </w:p>
        </w:tc>
      </w:tr>
      <w:tr>
        <w:trPr/>
        <w:tc>
          <w:tcPr>
            <w:tcW w:w="685" w:type="dxa"/>
            <w:tcBorders/>
            <w:shd w:fill="auto" w:val="clear"/>
          </w:tcPr>
          <w:p>
            <w:pPr>
              <w:pStyle w:val="ListParagraph"/>
              <w:numPr>
                <w:ilvl w:val="0"/>
                <w:numId w:val="55"/>
              </w:numPr>
              <w:tabs>
                <w:tab w:val="clear" w:pos="708"/>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Коэффициент миграционного прироста (убыли) на 1000 чел. населения</w:t>
            </w:r>
          </w:p>
        </w:tc>
        <w:tc>
          <w:tcPr>
            <w:tcW w:w="1390" w:type="dxa"/>
            <w:tcBorders/>
            <w:shd w:fill="auto" w:val="clear"/>
            <w:vAlign w:val="center"/>
          </w:tcPr>
          <w:p>
            <w:pPr>
              <w:pStyle w:val="Normal"/>
              <w:spacing w:lineRule="auto" w:line="240" w:before="0" w:after="0"/>
              <w:rPr/>
            </w:pPr>
            <w:r>
              <w:rPr/>
              <w:t>-7,8</w:t>
            </w:r>
          </w:p>
        </w:tc>
        <w:tc>
          <w:tcPr>
            <w:tcW w:w="832" w:type="dxa"/>
            <w:tcBorders/>
            <w:shd w:fill="auto" w:val="clear"/>
            <w:vAlign w:val="center"/>
          </w:tcPr>
          <w:p>
            <w:pPr>
              <w:pStyle w:val="Normal"/>
              <w:spacing w:lineRule="auto" w:line="240" w:before="0" w:after="0"/>
              <w:rPr/>
            </w:pPr>
            <w:r>
              <w:rPr/>
              <w:t>-7,3</w:t>
            </w:r>
          </w:p>
        </w:tc>
        <w:tc>
          <w:tcPr>
            <w:tcW w:w="833" w:type="dxa"/>
            <w:tcBorders/>
            <w:shd w:fill="auto" w:val="clear"/>
            <w:vAlign w:val="center"/>
          </w:tcPr>
          <w:p>
            <w:pPr>
              <w:pStyle w:val="Normal"/>
              <w:spacing w:lineRule="auto" w:line="240" w:before="0" w:after="0"/>
              <w:rPr/>
            </w:pPr>
            <w:r>
              <w:rPr/>
              <w:t>-6,2</w:t>
            </w:r>
          </w:p>
        </w:tc>
        <w:tc>
          <w:tcPr>
            <w:tcW w:w="764" w:type="dxa"/>
            <w:tcBorders/>
            <w:shd w:fill="auto" w:val="clear"/>
            <w:vAlign w:val="center"/>
          </w:tcPr>
          <w:p>
            <w:pPr>
              <w:pStyle w:val="Normal"/>
              <w:spacing w:lineRule="auto" w:line="240" w:before="0" w:after="0"/>
              <w:rPr/>
            </w:pPr>
            <w:r>
              <w:rPr/>
              <w:t>-4,4</w:t>
            </w:r>
          </w:p>
        </w:tc>
      </w:tr>
      <w:tr>
        <w:trPr/>
        <w:tc>
          <w:tcPr>
            <w:tcW w:w="685" w:type="dxa"/>
            <w:tcBorders/>
            <w:shd w:fill="auto" w:val="clear"/>
          </w:tcPr>
          <w:p>
            <w:pPr>
              <w:pStyle w:val="ListParagraph"/>
              <w:numPr>
                <w:ilvl w:val="0"/>
                <w:numId w:val="55"/>
              </w:numPr>
              <w:tabs>
                <w:tab w:val="clear" w:pos="708"/>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Средняя продолжительность жизни, лет</w:t>
            </w:r>
          </w:p>
        </w:tc>
        <w:tc>
          <w:tcPr>
            <w:tcW w:w="1390" w:type="dxa"/>
            <w:tcBorders/>
            <w:shd w:fill="auto" w:val="clear"/>
            <w:vAlign w:val="center"/>
          </w:tcPr>
          <w:p>
            <w:pPr>
              <w:pStyle w:val="Normal"/>
              <w:spacing w:lineRule="auto" w:line="240" w:before="0" w:after="0"/>
              <w:rPr/>
            </w:pPr>
            <w:r>
              <w:rPr/>
              <w:t>71</w:t>
            </w:r>
          </w:p>
        </w:tc>
        <w:tc>
          <w:tcPr>
            <w:tcW w:w="832" w:type="dxa"/>
            <w:tcBorders/>
            <w:shd w:fill="auto" w:val="clear"/>
            <w:vAlign w:val="center"/>
          </w:tcPr>
          <w:p>
            <w:pPr>
              <w:pStyle w:val="Normal"/>
              <w:spacing w:lineRule="auto" w:line="240" w:before="0" w:after="0"/>
              <w:rPr/>
            </w:pPr>
            <w:r>
              <w:rPr/>
              <w:t>73</w:t>
            </w:r>
          </w:p>
        </w:tc>
        <w:tc>
          <w:tcPr>
            <w:tcW w:w="833" w:type="dxa"/>
            <w:tcBorders/>
            <w:shd w:fill="auto" w:val="clear"/>
            <w:vAlign w:val="center"/>
          </w:tcPr>
          <w:p>
            <w:pPr>
              <w:pStyle w:val="Normal"/>
              <w:spacing w:lineRule="auto" w:line="240" w:before="0" w:after="0"/>
              <w:rPr/>
            </w:pPr>
            <w:r>
              <w:rPr/>
              <w:t>75</w:t>
            </w:r>
          </w:p>
        </w:tc>
        <w:tc>
          <w:tcPr>
            <w:tcW w:w="764" w:type="dxa"/>
            <w:tcBorders/>
            <w:shd w:fill="auto" w:val="clear"/>
            <w:vAlign w:val="center"/>
          </w:tcPr>
          <w:p>
            <w:pPr>
              <w:pStyle w:val="Normal"/>
              <w:spacing w:lineRule="auto" w:line="240" w:before="0" w:after="0"/>
              <w:rPr/>
            </w:pPr>
            <w:r>
              <w:rPr/>
              <w:t>78</w:t>
            </w:r>
          </w:p>
        </w:tc>
      </w:tr>
      <w:tr>
        <w:trPr/>
        <w:tc>
          <w:tcPr>
            <w:tcW w:w="9637" w:type="dxa"/>
            <w:gridSpan w:val="6"/>
            <w:tcBorders/>
            <w:shd w:fill="auto" w:val="clear"/>
          </w:tcPr>
          <w:p>
            <w:pPr>
              <w:pStyle w:val="Normal"/>
              <w:spacing w:lineRule="auto" w:line="240" w:before="0" w:after="0"/>
              <w:jc w:val="center"/>
              <w:rPr>
                <w:b/>
                <w:b/>
              </w:rPr>
            </w:pPr>
            <w:r>
              <w:rPr>
                <w:b/>
              </w:rPr>
              <w:t>1.2.Качественные преобразования, повышение качества и доступности услуг в системе образования, культуры, здравоохранения, физической культуры спорта</w:t>
            </w:r>
          </w:p>
        </w:tc>
      </w:tr>
      <w:tr>
        <w:trPr/>
        <w:tc>
          <w:tcPr>
            <w:tcW w:w="9637" w:type="dxa"/>
            <w:gridSpan w:val="6"/>
            <w:tcBorders/>
            <w:shd w:fill="auto" w:val="clear"/>
          </w:tcPr>
          <w:p>
            <w:pPr>
              <w:pStyle w:val="Normal"/>
              <w:spacing w:lineRule="auto" w:line="240" w:before="0" w:after="0"/>
              <w:jc w:val="center"/>
              <w:rPr>
                <w:b/>
                <w:b/>
              </w:rPr>
            </w:pPr>
            <w:r>
              <w:rPr>
                <w:b/>
              </w:rPr>
              <w:t>1.2.1. Образование</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Обеспеченность детей дошкольного возраста местами в дошкольных образовательных учреждениях, %</w:t>
            </w:r>
          </w:p>
        </w:tc>
        <w:tc>
          <w:tcPr>
            <w:tcW w:w="1390" w:type="dxa"/>
            <w:tcBorders/>
            <w:shd w:fill="auto" w:val="clear"/>
            <w:vAlign w:val="center"/>
          </w:tcPr>
          <w:p>
            <w:pPr>
              <w:pStyle w:val="Normal"/>
              <w:spacing w:lineRule="auto" w:line="240" w:before="0" w:after="0"/>
              <w:rPr/>
            </w:pPr>
            <w:r>
              <w:rPr/>
            </w:r>
          </w:p>
          <w:p>
            <w:pPr>
              <w:pStyle w:val="Normal"/>
              <w:spacing w:lineRule="auto" w:line="240" w:before="0" w:after="0"/>
              <w:rPr/>
            </w:pPr>
            <w:r>
              <w:rPr/>
              <w:t>100,0</w:t>
            </w:r>
          </w:p>
          <w:p>
            <w:pPr>
              <w:pStyle w:val="Normal"/>
              <w:spacing w:lineRule="auto" w:line="240" w:before="0" w:after="0"/>
              <w:rPr/>
            </w:pPr>
            <w:r>
              <w:rPr/>
            </w:r>
          </w:p>
        </w:tc>
        <w:tc>
          <w:tcPr>
            <w:tcW w:w="832" w:type="dxa"/>
            <w:tcBorders/>
            <w:shd w:fill="auto" w:val="clear"/>
            <w:vAlign w:val="center"/>
          </w:tcPr>
          <w:p>
            <w:pPr>
              <w:pStyle w:val="Normal"/>
              <w:spacing w:lineRule="auto" w:line="240" w:before="0" w:after="0"/>
              <w:rPr/>
            </w:pPr>
            <w:r>
              <w:rPr/>
            </w:r>
          </w:p>
          <w:p>
            <w:pPr>
              <w:pStyle w:val="Normal"/>
              <w:spacing w:lineRule="auto" w:line="240" w:before="0" w:after="0"/>
              <w:rPr/>
            </w:pPr>
            <w:r>
              <w:rPr/>
              <w:t>100,0</w:t>
            </w:r>
          </w:p>
          <w:p>
            <w:pPr>
              <w:pStyle w:val="Normal"/>
              <w:spacing w:lineRule="auto" w:line="240" w:before="0" w:after="0"/>
              <w:rPr/>
            </w:pPr>
            <w:r>
              <w:rPr/>
            </w:r>
          </w:p>
        </w:tc>
        <w:tc>
          <w:tcPr>
            <w:tcW w:w="833" w:type="dxa"/>
            <w:tcBorders/>
            <w:shd w:fill="auto" w:val="clear"/>
            <w:vAlign w:val="center"/>
          </w:tcPr>
          <w:p>
            <w:pPr>
              <w:pStyle w:val="Normal"/>
              <w:spacing w:lineRule="auto" w:line="240" w:before="0" w:after="0"/>
              <w:rPr/>
            </w:pPr>
            <w:r>
              <w:rPr/>
            </w:r>
          </w:p>
          <w:p>
            <w:pPr>
              <w:pStyle w:val="Normal"/>
              <w:spacing w:lineRule="auto" w:line="240" w:before="0" w:after="0"/>
              <w:rPr/>
            </w:pPr>
            <w:r>
              <w:rPr/>
              <w:t>100,0</w:t>
            </w:r>
          </w:p>
          <w:p>
            <w:pPr>
              <w:pStyle w:val="Normal"/>
              <w:spacing w:lineRule="auto" w:line="240" w:before="0" w:after="0"/>
              <w:rPr/>
            </w:pPr>
            <w:r>
              <w:rPr/>
            </w:r>
          </w:p>
        </w:tc>
        <w:tc>
          <w:tcPr>
            <w:tcW w:w="764" w:type="dxa"/>
            <w:tcBorders/>
            <w:shd w:fill="auto" w:val="clear"/>
            <w:vAlign w:val="center"/>
          </w:tcPr>
          <w:p>
            <w:pPr>
              <w:pStyle w:val="Normal"/>
              <w:spacing w:lineRule="auto" w:line="240" w:before="0" w:after="0"/>
              <w:rPr/>
            </w:pPr>
            <w:r>
              <w:rPr/>
            </w:r>
          </w:p>
          <w:p>
            <w:pPr>
              <w:pStyle w:val="Normal"/>
              <w:spacing w:lineRule="auto" w:line="240" w:before="0" w:after="0"/>
              <w:rPr/>
            </w:pPr>
            <w:r>
              <w:rPr/>
              <w:t>100,0</w:t>
            </w:r>
          </w:p>
          <w:p>
            <w:pPr>
              <w:pStyle w:val="Normal"/>
              <w:spacing w:lineRule="auto" w:line="240" w:before="0" w:after="0"/>
              <w:rPr/>
            </w:pPr>
            <w:r>
              <w:rPr/>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Охват детей программами дополнительного образования, %</w:t>
            </w:r>
          </w:p>
        </w:tc>
        <w:tc>
          <w:tcPr>
            <w:tcW w:w="1390" w:type="dxa"/>
            <w:tcBorders/>
            <w:shd w:fill="auto" w:val="clear"/>
            <w:vAlign w:val="center"/>
          </w:tcPr>
          <w:p>
            <w:pPr>
              <w:pStyle w:val="Normal"/>
              <w:spacing w:lineRule="auto" w:line="240" w:before="0" w:after="0"/>
              <w:jc w:val="center"/>
              <w:rPr/>
            </w:pPr>
            <w:r>
              <w:rPr/>
              <w:t>75,0</w:t>
            </w:r>
          </w:p>
        </w:tc>
        <w:tc>
          <w:tcPr>
            <w:tcW w:w="832" w:type="dxa"/>
            <w:tcBorders/>
            <w:shd w:fill="auto" w:val="clear"/>
            <w:vAlign w:val="center"/>
          </w:tcPr>
          <w:p>
            <w:pPr>
              <w:pStyle w:val="Normal"/>
              <w:spacing w:lineRule="auto" w:line="240" w:before="0" w:after="0"/>
              <w:jc w:val="center"/>
              <w:rPr/>
            </w:pPr>
            <w:r>
              <w:rPr/>
              <w:t>75,0</w:t>
            </w:r>
          </w:p>
        </w:tc>
        <w:tc>
          <w:tcPr>
            <w:tcW w:w="833" w:type="dxa"/>
            <w:tcBorders/>
            <w:shd w:fill="auto" w:val="clear"/>
            <w:vAlign w:val="center"/>
          </w:tcPr>
          <w:p>
            <w:pPr>
              <w:pStyle w:val="Normal"/>
              <w:spacing w:lineRule="auto" w:line="240" w:before="0" w:after="0"/>
              <w:jc w:val="center"/>
              <w:rPr/>
            </w:pPr>
            <w:r>
              <w:rPr/>
              <w:t>78,0</w:t>
            </w:r>
          </w:p>
        </w:tc>
        <w:tc>
          <w:tcPr>
            <w:tcW w:w="764" w:type="dxa"/>
            <w:tcBorders/>
            <w:shd w:fill="auto" w:val="clear"/>
            <w:vAlign w:val="center"/>
          </w:tcPr>
          <w:p>
            <w:pPr>
              <w:pStyle w:val="Normal"/>
              <w:spacing w:lineRule="auto" w:line="240" w:before="0" w:after="0"/>
              <w:jc w:val="center"/>
              <w:rPr/>
            </w:pPr>
            <w:r>
              <w:rPr/>
              <w:t>80,0</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Кадровая обеспеченность системы:</w:t>
            </w:r>
          </w:p>
          <w:p>
            <w:pPr>
              <w:pStyle w:val="Normal"/>
              <w:spacing w:lineRule="auto" w:line="240" w:before="0" w:after="0"/>
              <w:rPr/>
            </w:pPr>
            <w:r>
              <w:rPr/>
              <w:t>дошкольного,</w:t>
            </w:r>
          </w:p>
          <w:p>
            <w:pPr>
              <w:pStyle w:val="Normal"/>
              <w:spacing w:lineRule="auto" w:line="240" w:before="0" w:after="0"/>
              <w:rPr/>
            </w:pPr>
            <w:r>
              <w:rPr/>
              <w:t>общего</w:t>
            </w:r>
          </w:p>
          <w:p>
            <w:pPr>
              <w:pStyle w:val="Normal"/>
              <w:spacing w:lineRule="auto" w:line="240" w:before="0" w:after="0"/>
              <w:rPr/>
            </w:pPr>
            <w:r>
              <w:rPr/>
              <w:t>дополнительного образования педагогическими кадрами,%</w:t>
            </w:r>
          </w:p>
        </w:tc>
        <w:tc>
          <w:tcPr>
            <w:tcW w:w="1390" w:type="dxa"/>
            <w:tcBorders/>
            <w:shd w:fill="auto" w:val="clear"/>
            <w:vAlign w:val="center"/>
          </w:tcPr>
          <w:p>
            <w:pPr>
              <w:pStyle w:val="Normal"/>
              <w:spacing w:lineRule="auto" w:line="240" w:before="0" w:after="0"/>
              <w:rPr/>
            </w:pPr>
            <w:r>
              <w:rPr/>
              <w:t>72,0</w:t>
            </w:r>
          </w:p>
          <w:p>
            <w:pPr>
              <w:pStyle w:val="Normal"/>
              <w:spacing w:lineRule="auto" w:line="240" w:before="0" w:after="0"/>
              <w:rPr/>
            </w:pPr>
            <w:r>
              <w:rPr/>
              <w:t>82,0</w:t>
            </w:r>
          </w:p>
          <w:p>
            <w:pPr>
              <w:pStyle w:val="Normal"/>
              <w:spacing w:lineRule="auto" w:line="240" w:before="0" w:after="0"/>
              <w:rPr/>
            </w:pPr>
            <w:r>
              <w:rPr/>
              <w:t>58,0</w:t>
            </w:r>
          </w:p>
        </w:tc>
        <w:tc>
          <w:tcPr>
            <w:tcW w:w="832" w:type="dxa"/>
            <w:tcBorders/>
            <w:shd w:fill="auto" w:val="clear"/>
            <w:vAlign w:val="center"/>
          </w:tcPr>
          <w:p>
            <w:pPr>
              <w:pStyle w:val="Normal"/>
              <w:spacing w:lineRule="auto" w:line="240" w:before="0" w:after="0"/>
              <w:rPr/>
            </w:pPr>
            <w:r>
              <w:rPr/>
              <w:t>75,0</w:t>
            </w:r>
          </w:p>
          <w:p>
            <w:pPr>
              <w:pStyle w:val="Normal"/>
              <w:spacing w:lineRule="auto" w:line="240" w:before="0" w:after="0"/>
              <w:rPr/>
            </w:pPr>
            <w:r>
              <w:rPr/>
              <w:t>85,0</w:t>
            </w:r>
          </w:p>
          <w:p>
            <w:pPr>
              <w:pStyle w:val="Normal"/>
              <w:spacing w:lineRule="auto" w:line="240" w:before="0" w:after="0"/>
              <w:rPr/>
            </w:pPr>
            <w:r>
              <w:rPr/>
              <w:t>62,0</w:t>
            </w:r>
          </w:p>
        </w:tc>
        <w:tc>
          <w:tcPr>
            <w:tcW w:w="833" w:type="dxa"/>
            <w:tcBorders/>
            <w:shd w:fill="auto" w:val="clear"/>
            <w:vAlign w:val="center"/>
          </w:tcPr>
          <w:p>
            <w:pPr>
              <w:pStyle w:val="Normal"/>
              <w:spacing w:lineRule="auto" w:line="240" w:before="0" w:after="0"/>
              <w:rPr/>
            </w:pPr>
            <w:r>
              <w:rPr/>
              <w:t>78,0</w:t>
            </w:r>
          </w:p>
          <w:p>
            <w:pPr>
              <w:pStyle w:val="Normal"/>
              <w:spacing w:lineRule="auto" w:line="240" w:before="0" w:after="0"/>
              <w:rPr/>
            </w:pPr>
            <w:r>
              <w:rPr/>
              <w:t>87,0</w:t>
            </w:r>
          </w:p>
          <w:p>
            <w:pPr>
              <w:pStyle w:val="Normal"/>
              <w:spacing w:lineRule="auto" w:line="240" w:before="0" w:after="0"/>
              <w:rPr/>
            </w:pPr>
            <w:r>
              <w:rPr/>
              <w:t>64,0</w:t>
            </w:r>
          </w:p>
        </w:tc>
        <w:tc>
          <w:tcPr>
            <w:tcW w:w="764" w:type="dxa"/>
            <w:tcBorders/>
            <w:shd w:fill="auto" w:val="clear"/>
            <w:vAlign w:val="center"/>
          </w:tcPr>
          <w:p>
            <w:pPr>
              <w:pStyle w:val="Normal"/>
              <w:spacing w:lineRule="auto" w:line="240" w:before="0" w:after="0"/>
              <w:rPr/>
            </w:pPr>
            <w:r>
              <w:rPr/>
              <w:t>80,0</w:t>
            </w:r>
          </w:p>
          <w:p>
            <w:pPr>
              <w:pStyle w:val="Normal"/>
              <w:spacing w:lineRule="auto" w:line="240" w:before="0" w:after="0"/>
              <w:rPr/>
            </w:pPr>
            <w:r>
              <w:rPr/>
              <w:t>90,0</w:t>
            </w:r>
          </w:p>
          <w:p>
            <w:pPr>
              <w:pStyle w:val="Normal"/>
              <w:spacing w:lineRule="auto" w:line="240" w:before="0" w:after="0"/>
              <w:rPr/>
            </w:pPr>
            <w:r>
              <w:rPr/>
              <w:t>65,0</w:t>
            </w:r>
          </w:p>
        </w:tc>
      </w:tr>
      <w:tr>
        <w:trPr/>
        <w:tc>
          <w:tcPr>
            <w:tcW w:w="9637" w:type="dxa"/>
            <w:gridSpan w:val="6"/>
            <w:tcBorders/>
            <w:shd w:fill="auto" w:val="clear"/>
          </w:tcPr>
          <w:p>
            <w:pPr>
              <w:pStyle w:val="ListParagraph"/>
              <w:numPr>
                <w:ilvl w:val="0"/>
                <w:numId w:val="55"/>
              </w:numPr>
              <w:tabs>
                <w:tab w:val="clear" w:pos="708"/>
                <w:tab w:val="left" w:pos="190" w:leader="none"/>
              </w:tabs>
              <w:spacing w:lineRule="auto" w:line="240" w:before="0" w:after="0"/>
              <w:ind w:left="0" w:hanging="0"/>
              <w:contextualSpacing/>
              <w:jc w:val="center"/>
              <w:rPr>
                <w:b/>
                <w:b/>
              </w:rPr>
            </w:pPr>
            <w:r>
              <w:rPr>
                <w:b/>
              </w:rPr>
              <w:t>1.2.2. Культура</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учреждений культуры, здания которых находятся в аварийном состоянии или требуют капитального ремонта, в общем количестве учреждений культуры, %</w:t>
            </w:r>
          </w:p>
        </w:tc>
        <w:tc>
          <w:tcPr>
            <w:tcW w:w="1390" w:type="dxa"/>
            <w:tcBorders/>
            <w:shd w:fill="auto" w:val="clear"/>
            <w:vAlign w:val="center"/>
          </w:tcPr>
          <w:p>
            <w:pPr>
              <w:pStyle w:val="Normal"/>
              <w:spacing w:lineRule="auto" w:line="240" w:before="0" w:after="0"/>
              <w:rPr>
                <w:rFonts w:eastAsia="Calibri"/>
              </w:rPr>
            </w:pPr>
            <w:r>
              <w:rPr>
                <w:rFonts w:eastAsia="Calibri"/>
              </w:rPr>
              <w:t>23,0</w:t>
            </w:r>
          </w:p>
        </w:tc>
        <w:tc>
          <w:tcPr>
            <w:tcW w:w="832" w:type="dxa"/>
            <w:tcBorders/>
            <w:shd w:fill="auto" w:val="clear"/>
            <w:vAlign w:val="center"/>
          </w:tcPr>
          <w:p>
            <w:pPr>
              <w:pStyle w:val="Normal"/>
              <w:spacing w:lineRule="auto" w:line="240" w:before="0" w:after="0"/>
              <w:rPr/>
            </w:pPr>
            <w:r>
              <w:rPr/>
              <w:t>10,0</w:t>
            </w:r>
          </w:p>
        </w:tc>
        <w:tc>
          <w:tcPr>
            <w:tcW w:w="833" w:type="dxa"/>
            <w:tcBorders/>
            <w:shd w:fill="auto" w:val="clear"/>
            <w:vAlign w:val="center"/>
          </w:tcPr>
          <w:p>
            <w:pPr>
              <w:pStyle w:val="Normal"/>
              <w:spacing w:lineRule="auto" w:line="240" w:before="0" w:after="0"/>
              <w:rPr/>
            </w:pPr>
            <w:r>
              <w:rPr/>
              <w:t>0</w:t>
            </w:r>
          </w:p>
        </w:tc>
        <w:tc>
          <w:tcPr>
            <w:tcW w:w="764" w:type="dxa"/>
            <w:tcBorders/>
            <w:shd w:fill="auto" w:val="clear"/>
            <w:vAlign w:val="center"/>
          </w:tcPr>
          <w:p>
            <w:pPr>
              <w:pStyle w:val="Normal"/>
              <w:spacing w:lineRule="auto" w:line="240" w:before="0" w:after="0"/>
              <w:rPr/>
            </w:pPr>
            <w:r>
              <w:rPr/>
              <w:t>0</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населения, являющегося участниками клубных формирований, %</w:t>
            </w:r>
          </w:p>
        </w:tc>
        <w:tc>
          <w:tcPr>
            <w:tcW w:w="1390" w:type="dxa"/>
            <w:tcBorders/>
            <w:shd w:fill="auto" w:val="clear"/>
            <w:vAlign w:val="center"/>
          </w:tcPr>
          <w:p>
            <w:pPr>
              <w:pStyle w:val="Normal"/>
              <w:spacing w:lineRule="auto" w:line="240" w:before="0" w:after="0"/>
              <w:rPr/>
            </w:pPr>
            <w:r>
              <w:rPr/>
              <w:t>8,1</w:t>
            </w:r>
          </w:p>
        </w:tc>
        <w:tc>
          <w:tcPr>
            <w:tcW w:w="832" w:type="dxa"/>
            <w:tcBorders/>
            <w:shd w:fill="auto" w:val="clear"/>
            <w:vAlign w:val="center"/>
          </w:tcPr>
          <w:p>
            <w:pPr>
              <w:pStyle w:val="Normal"/>
              <w:spacing w:lineRule="auto" w:line="240" w:before="0" w:after="0"/>
              <w:rPr/>
            </w:pPr>
            <w:r>
              <w:rPr/>
              <w:t>10,1</w:t>
            </w:r>
          </w:p>
        </w:tc>
        <w:tc>
          <w:tcPr>
            <w:tcW w:w="833" w:type="dxa"/>
            <w:tcBorders/>
            <w:shd w:fill="auto" w:val="clear"/>
            <w:vAlign w:val="center"/>
          </w:tcPr>
          <w:p>
            <w:pPr>
              <w:pStyle w:val="Normal"/>
              <w:spacing w:lineRule="auto" w:line="240" w:before="0" w:after="0"/>
              <w:rPr/>
            </w:pPr>
            <w:r>
              <w:rPr/>
              <w:t>14,1</w:t>
            </w:r>
          </w:p>
        </w:tc>
        <w:tc>
          <w:tcPr>
            <w:tcW w:w="764" w:type="dxa"/>
            <w:tcBorders/>
            <w:shd w:fill="auto" w:val="clear"/>
            <w:vAlign w:val="center"/>
          </w:tcPr>
          <w:p>
            <w:pPr>
              <w:pStyle w:val="Normal"/>
              <w:spacing w:lineRule="auto" w:line="240" w:before="0" w:after="0"/>
              <w:rPr/>
            </w:pPr>
            <w:r>
              <w:rPr/>
              <w:t>14,1</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населения, пользующегося услугами библиотек, %</w:t>
            </w:r>
          </w:p>
        </w:tc>
        <w:tc>
          <w:tcPr>
            <w:tcW w:w="1390" w:type="dxa"/>
            <w:tcBorders/>
            <w:shd w:fill="auto" w:val="clear"/>
            <w:vAlign w:val="center"/>
          </w:tcPr>
          <w:p>
            <w:pPr>
              <w:pStyle w:val="Normal"/>
              <w:spacing w:lineRule="auto" w:line="240" w:before="0" w:after="0"/>
              <w:rPr/>
            </w:pPr>
            <w:r>
              <w:rPr/>
              <w:t>70,7</w:t>
            </w:r>
          </w:p>
        </w:tc>
        <w:tc>
          <w:tcPr>
            <w:tcW w:w="832" w:type="dxa"/>
            <w:tcBorders/>
            <w:shd w:fill="auto" w:val="clear"/>
            <w:vAlign w:val="center"/>
          </w:tcPr>
          <w:p>
            <w:pPr>
              <w:pStyle w:val="Normal"/>
              <w:spacing w:lineRule="auto" w:line="240" w:before="0" w:after="0"/>
              <w:rPr/>
            </w:pPr>
            <w:r>
              <w:rPr/>
              <w:t>77,1</w:t>
            </w:r>
          </w:p>
        </w:tc>
        <w:tc>
          <w:tcPr>
            <w:tcW w:w="833" w:type="dxa"/>
            <w:tcBorders/>
            <w:shd w:fill="auto" w:val="clear"/>
            <w:vAlign w:val="center"/>
          </w:tcPr>
          <w:p>
            <w:pPr>
              <w:pStyle w:val="Normal"/>
              <w:spacing w:lineRule="auto" w:line="240" w:before="0" w:after="0"/>
              <w:rPr/>
            </w:pPr>
            <w:r>
              <w:rPr/>
              <w:t>85,4</w:t>
            </w:r>
          </w:p>
        </w:tc>
        <w:tc>
          <w:tcPr>
            <w:tcW w:w="764" w:type="dxa"/>
            <w:tcBorders/>
            <w:shd w:fill="auto" w:val="clear"/>
            <w:vAlign w:val="center"/>
          </w:tcPr>
          <w:p>
            <w:pPr>
              <w:pStyle w:val="Normal"/>
              <w:spacing w:lineRule="auto" w:line="240" w:before="0" w:after="0"/>
              <w:rPr/>
            </w:pPr>
            <w:r>
              <w:rPr/>
              <w:t>75,5</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посещений общедоступных библиотек, ед, на 1 жителя</w:t>
            </w:r>
          </w:p>
        </w:tc>
        <w:tc>
          <w:tcPr>
            <w:tcW w:w="1390" w:type="dxa"/>
            <w:tcBorders/>
            <w:shd w:fill="auto" w:val="clear"/>
            <w:vAlign w:val="center"/>
          </w:tcPr>
          <w:p>
            <w:pPr>
              <w:pStyle w:val="Normal"/>
              <w:spacing w:lineRule="auto" w:line="240" w:before="0" w:after="0"/>
              <w:rPr/>
            </w:pPr>
            <w:r>
              <w:rPr/>
              <w:t>6,8</w:t>
            </w:r>
          </w:p>
        </w:tc>
        <w:tc>
          <w:tcPr>
            <w:tcW w:w="832" w:type="dxa"/>
            <w:tcBorders/>
            <w:shd w:fill="auto" w:val="clear"/>
            <w:vAlign w:val="center"/>
          </w:tcPr>
          <w:p>
            <w:pPr>
              <w:pStyle w:val="Normal"/>
              <w:spacing w:lineRule="auto" w:line="240" w:before="0" w:after="0"/>
              <w:rPr/>
            </w:pPr>
            <w:r>
              <w:rPr/>
              <w:t>7,0</w:t>
            </w:r>
          </w:p>
        </w:tc>
        <w:tc>
          <w:tcPr>
            <w:tcW w:w="833" w:type="dxa"/>
            <w:tcBorders/>
            <w:shd w:fill="auto" w:val="clear"/>
            <w:vAlign w:val="center"/>
          </w:tcPr>
          <w:p>
            <w:pPr>
              <w:pStyle w:val="Normal"/>
              <w:spacing w:lineRule="auto" w:line="240" w:before="0" w:after="0"/>
              <w:rPr/>
            </w:pPr>
            <w:r>
              <w:rPr/>
              <w:t>7,6</w:t>
            </w:r>
          </w:p>
        </w:tc>
        <w:tc>
          <w:tcPr>
            <w:tcW w:w="764" w:type="dxa"/>
            <w:tcBorders/>
            <w:shd w:fill="auto" w:val="clear"/>
            <w:vAlign w:val="center"/>
          </w:tcPr>
          <w:p>
            <w:pPr>
              <w:pStyle w:val="Normal"/>
              <w:spacing w:lineRule="auto" w:line="240" w:before="0" w:after="0"/>
              <w:rPr/>
            </w:pPr>
            <w:r>
              <w:rPr/>
              <w:t>7,6</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spacing w:val="-4"/>
              </w:rPr>
            </w:pPr>
            <w:r>
              <w:rPr>
                <w:rFonts w:eastAsia="Calibri"/>
                <w:spacing w:val="-4"/>
              </w:rPr>
              <w:t>Доля населения, пользующихся услугами музеев, %</w:t>
            </w:r>
          </w:p>
        </w:tc>
        <w:tc>
          <w:tcPr>
            <w:tcW w:w="1390" w:type="dxa"/>
            <w:tcBorders/>
            <w:shd w:fill="auto" w:val="clear"/>
            <w:vAlign w:val="center"/>
          </w:tcPr>
          <w:p>
            <w:pPr>
              <w:pStyle w:val="Normal"/>
              <w:spacing w:lineRule="auto" w:line="240" w:before="0" w:after="0"/>
              <w:rPr/>
            </w:pPr>
            <w:r>
              <w:rPr/>
              <w:t>13,0</w:t>
            </w:r>
          </w:p>
        </w:tc>
        <w:tc>
          <w:tcPr>
            <w:tcW w:w="832" w:type="dxa"/>
            <w:tcBorders/>
            <w:shd w:fill="auto" w:val="clear"/>
            <w:vAlign w:val="center"/>
          </w:tcPr>
          <w:p>
            <w:pPr>
              <w:pStyle w:val="Normal"/>
              <w:spacing w:lineRule="auto" w:line="240" w:before="0" w:after="0"/>
              <w:rPr/>
            </w:pPr>
            <w:r>
              <w:rPr/>
              <w:t>13,2</w:t>
            </w:r>
          </w:p>
        </w:tc>
        <w:tc>
          <w:tcPr>
            <w:tcW w:w="833" w:type="dxa"/>
            <w:tcBorders/>
            <w:shd w:fill="auto" w:val="clear"/>
            <w:vAlign w:val="center"/>
          </w:tcPr>
          <w:p>
            <w:pPr>
              <w:pStyle w:val="Normal"/>
              <w:spacing w:lineRule="auto" w:line="240" w:before="0" w:after="0"/>
              <w:rPr/>
            </w:pPr>
            <w:r>
              <w:rPr/>
              <w:t>13,2</w:t>
            </w:r>
          </w:p>
        </w:tc>
        <w:tc>
          <w:tcPr>
            <w:tcW w:w="764" w:type="dxa"/>
            <w:tcBorders/>
            <w:shd w:fill="auto" w:val="clear"/>
            <w:vAlign w:val="center"/>
          </w:tcPr>
          <w:p>
            <w:pPr>
              <w:pStyle w:val="Normal"/>
              <w:spacing w:lineRule="auto" w:line="240" w:before="0" w:after="0"/>
              <w:rPr/>
            </w:pPr>
            <w:r>
              <w:rPr/>
              <w:t>13,2</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посещений музеев, ед. на 1 жителя</w:t>
            </w:r>
          </w:p>
        </w:tc>
        <w:tc>
          <w:tcPr>
            <w:tcW w:w="1390" w:type="dxa"/>
            <w:tcBorders/>
            <w:shd w:fill="auto" w:val="clear"/>
            <w:vAlign w:val="center"/>
          </w:tcPr>
          <w:p>
            <w:pPr>
              <w:pStyle w:val="Normal"/>
              <w:spacing w:lineRule="auto" w:line="240" w:before="0" w:after="0"/>
              <w:rPr/>
            </w:pPr>
            <w:r>
              <w:rPr/>
              <w:t>0,1</w:t>
            </w:r>
          </w:p>
        </w:tc>
        <w:tc>
          <w:tcPr>
            <w:tcW w:w="832" w:type="dxa"/>
            <w:tcBorders/>
            <w:shd w:fill="auto" w:val="clear"/>
            <w:vAlign w:val="center"/>
          </w:tcPr>
          <w:p>
            <w:pPr>
              <w:pStyle w:val="Normal"/>
              <w:spacing w:lineRule="auto" w:line="240" w:before="0" w:after="0"/>
              <w:rPr/>
            </w:pPr>
            <w:r>
              <w:rPr/>
              <w:t>0,2</w:t>
            </w:r>
          </w:p>
        </w:tc>
        <w:tc>
          <w:tcPr>
            <w:tcW w:w="833" w:type="dxa"/>
            <w:tcBorders/>
            <w:shd w:fill="auto" w:val="clear"/>
            <w:vAlign w:val="center"/>
          </w:tcPr>
          <w:p>
            <w:pPr>
              <w:pStyle w:val="Normal"/>
              <w:spacing w:lineRule="auto" w:line="240" w:before="0" w:after="0"/>
              <w:rPr/>
            </w:pPr>
            <w:r>
              <w:rPr/>
              <w:t>0,2</w:t>
            </w:r>
          </w:p>
        </w:tc>
        <w:tc>
          <w:tcPr>
            <w:tcW w:w="764" w:type="dxa"/>
            <w:tcBorders/>
            <w:shd w:fill="auto" w:val="clear"/>
            <w:vAlign w:val="center"/>
          </w:tcPr>
          <w:p>
            <w:pPr>
              <w:pStyle w:val="Normal"/>
              <w:spacing w:lineRule="auto" w:line="240" w:before="0" w:after="0"/>
              <w:rPr/>
            </w:pPr>
            <w:r>
              <w:rPr/>
              <w:t>0,3</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населения, участвующего в культурно-досуговых мероприятиях, %</w:t>
            </w:r>
          </w:p>
        </w:tc>
        <w:tc>
          <w:tcPr>
            <w:tcW w:w="1390" w:type="dxa"/>
            <w:tcBorders/>
            <w:shd w:fill="auto" w:val="clear"/>
            <w:vAlign w:val="center"/>
          </w:tcPr>
          <w:p>
            <w:pPr>
              <w:pStyle w:val="Normal"/>
              <w:spacing w:lineRule="auto" w:line="240" w:before="0" w:after="0"/>
              <w:rPr/>
            </w:pPr>
            <w:r>
              <w:rPr/>
              <w:t>45,0</w:t>
            </w:r>
          </w:p>
        </w:tc>
        <w:tc>
          <w:tcPr>
            <w:tcW w:w="832" w:type="dxa"/>
            <w:tcBorders/>
            <w:shd w:fill="auto" w:val="clear"/>
            <w:vAlign w:val="center"/>
          </w:tcPr>
          <w:p>
            <w:pPr>
              <w:pStyle w:val="Normal"/>
              <w:spacing w:lineRule="auto" w:line="240" w:before="0" w:after="0"/>
              <w:rPr/>
            </w:pPr>
            <w:r>
              <w:rPr/>
              <w:t>45,0</w:t>
            </w:r>
          </w:p>
        </w:tc>
        <w:tc>
          <w:tcPr>
            <w:tcW w:w="833" w:type="dxa"/>
            <w:tcBorders/>
            <w:shd w:fill="auto" w:val="clear"/>
            <w:vAlign w:val="center"/>
          </w:tcPr>
          <w:p>
            <w:pPr>
              <w:pStyle w:val="Normal"/>
              <w:spacing w:lineRule="auto" w:line="240" w:before="0" w:after="0"/>
              <w:rPr/>
            </w:pPr>
            <w:r>
              <w:rPr/>
              <w:t>45,0</w:t>
            </w:r>
          </w:p>
        </w:tc>
        <w:tc>
          <w:tcPr>
            <w:tcW w:w="764" w:type="dxa"/>
            <w:tcBorders/>
            <w:shd w:fill="auto" w:val="clear"/>
            <w:vAlign w:val="center"/>
          </w:tcPr>
          <w:p>
            <w:pPr>
              <w:pStyle w:val="Normal"/>
              <w:spacing w:lineRule="auto" w:line="240" w:before="0" w:after="0"/>
              <w:rPr/>
            </w:pPr>
            <w:r>
              <w:rPr/>
              <w:t>47,0</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посещений культурно-досуговых мероприятий, ед. на 1 жителя</w:t>
            </w:r>
          </w:p>
        </w:tc>
        <w:tc>
          <w:tcPr>
            <w:tcW w:w="1390" w:type="dxa"/>
            <w:tcBorders/>
            <w:shd w:fill="auto" w:val="clear"/>
            <w:vAlign w:val="center"/>
          </w:tcPr>
          <w:p>
            <w:pPr>
              <w:pStyle w:val="Normal"/>
              <w:spacing w:lineRule="auto" w:line="240" w:before="0" w:after="0"/>
              <w:rPr>
                <w:rFonts w:eastAsia="Calibri"/>
              </w:rPr>
            </w:pPr>
            <w:r>
              <w:rPr>
                <w:rFonts w:eastAsia="Calibri"/>
              </w:rPr>
              <w:t>5,5</w:t>
            </w:r>
          </w:p>
        </w:tc>
        <w:tc>
          <w:tcPr>
            <w:tcW w:w="832" w:type="dxa"/>
            <w:tcBorders/>
            <w:shd w:fill="auto" w:val="clear"/>
            <w:vAlign w:val="center"/>
          </w:tcPr>
          <w:p>
            <w:pPr>
              <w:pStyle w:val="Normal"/>
              <w:spacing w:lineRule="auto" w:line="240" w:before="0" w:after="0"/>
              <w:rPr/>
            </w:pPr>
            <w:r>
              <w:rPr/>
              <w:t>6,3</w:t>
            </w:r>
          </w:p>
        </w:tc>
        <w:tc>
          <w:tcPr>
            <w:tcW w:w="833" w:type="dxa"/>
            <w:tcBorders/>
            <w:shd w:fill="auto" w:val="clear"/>
            <w:vAlign w:val="center"/>
          </w:tcPr>
          <w:p>
            <w:pPr>
              <w:pStyle w:val="Normal"/>
              <w:spacing w:lineRule="auto" w:line="240" w:before="0" w:after="0"/>
              <w:rPr/>
            </w:pPr>
            <w:r>
              <w:rPr/>
              <w:t>6,3</w:t>
            </w:r>
          </w:p>
        </w:tc>
        <w:tc>
          <w:tcPr>
            <w:tcW w:w="764" w:type="dxa"/>
            <w:tcBorders/>
            <w:shd w:fill="auto" w:val="clear"/>
            <w:vAlign w:val="center"/>
          </w:tcPr>
          <w:p>
            <w:pPr>
              <w:pStyle w:val="Normal"/>
              <w:spacing w:lineRule="auto" w:line="240" w:before="0" w:after="0"/>
              <w:rPr/>
            </w:pPr>
            <w:r>
              <w:rPr/>
              <w:t>6,3</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Кадровая обеспеченность отрасли культуры специалистами с профильным образованием, %</w:t>
            </w:r>
          </w:p>
        </w:tc>
        <w:tc>
          <w:tcPr>
            <w:tcW w:w="1390" w:type="dxa"/>
            <w:tcBorders/>
            <w:shd w:fill="auto" w:val="clear"/>
            <w:vAlign w:val="center"/>
          </w:tcPr>
          <w:p>
            <w:pPr>
              <w:pStyle w:val="Normal"/>
              <w:spacing w:lineRule="auto" w:line="240" w:before="0" w:after="0"/>
              <w:rPr/>
            </w:pPr>
            <w:r>
              <w:rPr/>
              <w:t>30,0</w:t>
            </w:r>
          </w:p>
        </w:tc>
        <w:tc>
          <w:tcPr>
            <w:tcW w:w="832" w:type="dxa"/>
            <w:tcBorders/>
            <w:shd w:fill="auto" w:val="clear"/>
            <w:vAlign w:val="center"/>
          </w:tcPr>
          <w:p>
            <w:pPr>
              <w:pStyle w:val="Normal"/>
              <w:spacing w:lineRule="auto" w:line="240" w:before="0" w:after="0"/>
              <w:rPr/>
            </w:pPr>
            <w:r>
              <w:rPr/>
              <w:t>40,0</w:t>
            </w:r>
          </w:p>
        </w:tc>
        <w:tc>
          <w:tcPr>
            <w:tcW w:w="833" w:type="dxa"/>
            <w:tcBorders/>
            <w:shd w:fill="auto" w:val="clear"/>
            <w:vAlign w:val="center"/>
          </w:tcPr>
          <w:p>
            <w:pPr>
              <w:pStyle w:val="Normal"/>
              <w:spacing w:lineRule="auto" w:line="240" w:before="0" w:after="0"/>
              <w:rPr/>
            </w:pPr>
            <w:r>
              <w:rPr/>
              <w:t>50,0</w:t>
            </w:r>
          </w:p>
        </w:tc>
        <w:tc>
          <w:tcPr>
            <w:tcW w:w="764" w:type="dxa"/>
            <w:tcBorders/>
            <w:shd w:fill="auto" w:val="clear"/>
            <w:vAlign w:val="center"/>
          </w:tcPr>
          <w:p>
            <w:pPr>
              <w:pStyle w:val="Normal"/>
              <w:spacing w:lineRule="auto" w:line="240" w:before="0" w:after="0"/>
              <w:rPr/>
            </w:pPr>
            <w:r>
              <w:rPr/>
              <w:t>70,0</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Участие в грантовых конкурсов по привлечению дополнительных финансовых средств в развитие отрасли культуры, ед.</w:t>
            </w:r>
          </w:p>
        </w:tc>
        <w:tc>
          <w:tcPr>
            <w:tcW w:w="1390" w:type="dxa"/>
            <w:tcBorders/>
            <w:shd w:fill="auto" w:val="clear"/>
            <w:vAlign w:val="center"/>
          </w:tcPr>
          <w:p>
            <w:pPr>
              <w:pStyle w:val="Normal"/>
              <w:spacing w:lineRule="auto" w:line="240" w:before="0" w:after="0"/>
              <w:rPr/>
            </w:pPr>
            <w:r>
              <w:rPr/>
              <w:t>1</w:t>
            </w:r>
          </w:p>
        </w:tc>
        <w:tc>
          <w:tcPr>
            <w:tcW w:w="832" w:type="dxa"/>
            <w:tcBorders/>
            <w:shd w:fill="auto" w:val="clear"/>
            <w:vAlign w:val="center"/>
          </w:tcPr>
          <w:p>
            <w:pPr>
              <w:pStyle w:val="Normal"/>
              <w:spacing w:lineRule="auto" w:line="240" w:before="0" w:after="0"/>
              <w:rPr/>
            </w:pPr>
            <w:r>
              <w:rPr/>
              <w:t>не менее 3 в год</w:t>
            </w:r>
          </w:p>
        </w:tc>
        <w:tc>
          <w:tcPr>
            <w:tcW w:w="833" w:type="dxa"/>
            <w:tcBorders/>
            <w:shd w:fill="auto" w:val="clear"/>
            <w:vAlign w:val="center"/>
          </w:tcPr>
          <w:p>
            <w:pPr>
              <w:pStyle w:val="Normal"/>
              <w:spacing w:lineRule="auto" w:line="240" w:before="0" w:after="0"/>
              <w:rPr/>
            </w:pPr>
            <w:r>
              <w:rPr/>
              <w:t>не менее 3 в год</w:t>
            </w:r>
          </w:p>
        </w:tc>
        <w:tc>
          <w:tcPr>
            <w:tcW w:w="764" w:type="dxa"/>
            <w:tcBorders/>
            <w:shd w:fill="auto" w:val="clear"/>
            <w:vAlign w:val="center"/>
          </w:tcPr>
          <w:p>
            <w:pPr>
              <w:pStyle w:val="Normal"/>
              <w:spacing w:lineRule="auto" w:line="240" w:before="0" w:after="0"/>
              <w:rPr/>
            </w:pPr>
            <w:r>
              <w:rPr/>
              <w:t>не менее 3 в год</w:t>
            </w:r>
          </w:p>
        </w:tc>
      </w:tr>
      <w:tr>
        <w:trPr/>
        <w:tc>
          <w:tcPr>
            <w:tcW w:w="685" w:type="dxa"/>
            <w:tcBorders/>
            <w:shd w:fill="auto" w:val="clear"/>
          </w:tcPr>
          <w:p>
            <w:pPr>
              <w:pStyle w:val="ListParagraph"/>
              <w:numPr>
                <w:ilvl w:val="0"/>
                <w:numId w:val="55"/>
              </w:numPr>
              <w:tabs>
                <w:tab w:val="clear" w:pos="708"/>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2"/>
              </w:rPr>
            </w:pPr>
            <w:r>
              <w:rPr>
                <w:spacing w:val="-2"/>
              </w:rPr>
              <w:t>Восстановлено объектов культурного наследия, ед.</w:t>
            </w:r>
          </w:p>
        </w:tc>
        <w:tc>
          <w:tcPr>
            <w:tcW w:w="1390" w:type="dxa"/>
            <w:tcBorders/>
            <w:shd w:fill="auto" w:val="clear"/>
            <w:vAlign w:val="center"/>
          </w:tcPr>
          <w:p>
            <w:pPr>
              <w:pStyle w:val="Normal"/>
              <w:spacing w:lineRule="auto" w:line="240" w:before="0" w:after="0"/>
              <w:rPr/>
            </w:pPr>
            <w:r>
              <w:rPr/>
              <w:t>0</w:t>
            </w:r>
          </w:p>
        </w:tc>
        <w:tc>
          <w:tcPr>
            <w:tcW w:w="832" w:type="dxa"/>
            <w:tcBorders/>
            <w:shd w:fill="auto" w:val="clear"/>
            <w:vAlign w:val="center"/>
          </w:tcPr>
          <w:p>
            <w:pPr>
              <w:pStyle w:val="Normal"/>
              <w:spacing w:lineRule="auto" w:line="240" w:before="0" w:after="0"/>
              <w:rPr/>
            </w:pPr>
            <w:r>
              <w:rPr/>
              <w:t>0</w:t>
            </w:r>
          </w:p>
        </w:tc>
        <w:tc>
          <w:tcPr>
            <w:tcW w:w="833" w:type="dxa"/>
            <w:tcBorders/>
            <w:shd w:fill="auto" w:val="clear"/>
            <w:vAlign w:val="center"/>
          </w:tcPr>
          <w:p>
            <w:pPr>
              <w:pStyle w:val="Normal"/>
              <w:spacing w:lineRule="auto" w:line="240" w:before="0" w:after="0"/>
              <w:rPr/>
            </w:pPr>
            <w:r>
              <w:rPr/>
              <w:t>0</w:t>
            </w:r>
          </w:p>
        </w:tc>
        <w:tc>
          <w:tcPr>
            <w:tcW w:w="764" w:type="dxa"/>
            <w:tcBorders/>
            <w:shd w:fill="auto" w:val="clear"/>
            <w:vAlign w:val="center"/>
          </w:tcPr>
          <w:p>
            <w:pPr>
              <w:pStyle w:val="Normal"/>
              <w:spacing w:lineRule="auto" w:line="240" w:before="0" w:after="0"/>
              <w:rPr/>
            </w:pPr>
            <w:r>
              <w:rPr/>
              <w:t>1</w:t>
            </w:r>
          </w:p>
        </w:tc>
      </w:tr>
      <w:tr>
        <w:trPr/>
        <w:tc>
          <w:tcPr>
            <w:tcW w:w="9637" w:type="dxa"/>
            <w:gridSpan w:val="6"/>
            <w:tcBorders/>
            <w:shd w:fill="auto" w:val="clear"/>
          </w:tcPr>
          <w:p>
            <w:pPr>
              <w:pStyle w:val="Normal"/>
              <w:spacing w:lineRule="auto" w:line="240" w:before="0" w:after="0"/>
              <w:jc w:val="center"/>
              <w:rPr>
                <w:b/>
                <w:b/>
              </w:rPr>
            </w:pPr>
            <w:r>
              <w:rPr>
                <w:rFonts w:eastAsia="Calibri"/>
                <w:b/>
              </w:rPr>
              <w:t>1.2.3. Туризм</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Число туристов, посетивших объекты туристической сферы, %</w:t>
            </w:r>
          </w:p>
        </w:tc>
        <w:tc>
          <w:tcPr>
            <w:tcW w:w="1390" w:type="dxa"/>
            <w:tcBorders/>
            <w:shd w:fill="auto" w:val="clear"/>
            <w:vAlign w:val="center"/>
          </w:tcPr>
          <w:p>
            <w:pPr>
              <w:pStyle w:val="Normal"/>
              <w:spacing w:lineRule="auto" w:line="240" w:before="0" w:after="0"/>
              <w:rPr/>
            </w:pPr>
            <w:r>
              <w:rPr/>
              <w:t>100</w:t>
            </w:r>
          </w:p>
        </w:tc>
        <w:tc>
          <w:tcPr>
            <w:tcW w:w="832" w:type="dxa"/>
            <w:tcBorders/>
            <w:shd w:fill="auto" w:val="clear"/>
            <w:vAlign w:val="center"/>
          </w:tcPr>
          <w:p>
            <w:pPr>
              <w:pStyle w:val="Normal"/>
              <w:spacing w:lineRule="auto" w:line="240" w:before="0" w:after="0"/>
              <w:rPr/>
            </w:pPr>
            <w:r>
              <w:rPr/>
              <w:t>120</w:t>
            </w:r>
          </w:p>
        </w:tc>
        <w:tc>
          <w:tcPr>
            <w:tcW w:w="833" w:type="dxa"/>
            <w:tcBorders/>
            <w:shd w:fill="auto" w:val="clear"/>
            <w:vAlign w:val="center"/>
          </w:tcPr>
          <w:p>
            <w:pPr>
              <w:pStyle w:val="Normal"/>
              <w:spacing w:lineRule="auto" w:line="240" w:before="0" w:after="0"/>
              <w:rPr/>
            </w:pPr>
            <w:r>
              <w:rPr/>
              <w:t>150</w:t>
            </w:r>
          </w:p>
        </w:tc>
        <w:tc>
          <w:tcPr>
            <w:tcW w:w="764" w:type="dxa"/>
            <w:tcBorders/>
            <w:shd w:fill="auto" w:val="clear"/>
            <w:vAlign w:val="center"/>
          </w:tcPr>
          <w:p>
            <w:pPr>
              <w:pStyle w:val="Normal"/>
              <w:spacing w:lineRule="auto" w:line="240" w:before="0" w:after="0"/>
              <w:rPr/>
            </w:pPr>
            <w:r>
              <w:rPr/>
              <w:t>200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Количество действующих туристических маршрутов, ед.</w:t>
            </w:r>
          </w:p>
        </w:tc>
        <w:tc>
          <w:tcPr>
            <w:tcW w:w="1390" w:type="dxa"/>
            <w:tcBorders/>
            <w:shd w:fill="auto" w:val="clear"/>
            <w:vAlign w:val="center"/>
          </w:tcPr>
          <w:p>
            <w:pPr>
              <w:pStyle w:val="Normal"/>
              <w:spacing w:lineRule="auto" w:line="240" w:before="0" w:after="0"/>
              <w:rPr/>
            </w:pPr>
            <w:r>
              <w:rPr/>
              <w:t>1</w:t>
            </w:r>
          </w:p>
        </w:tc>
        <w:tc>
          <w:tcPr>
            <w:tcW w:w="832" w:type="dxa"/>
            <w:tcBorders/>
            <w:shd w:fill="auto" w:val="clear"/>
            <w:vAlign w:val="center"/>
          </w:tcPr>
          <w:p>
            <w:pPr>
              <w:pStyle w:val="Normal"/>
              <w:spacing w:lineRule="auto" w:line="240" w:before="0" w:after="0"/>
              <w:rPr/>
            </w:pPr>
            <w:r>
              <w:rPr/>
              <w:t>2</w:t>
            </w:r>
          </w:p>
        </w:tc>
        <w:tc>
          <w:tcPr>
            <w:tcW w:w="833" w:type="dxa"/>
            <w:tcBorders/>
            <w:shd w:fill="auto" w:val="clear"/>
            <w:vAlign w:val="center"/>
          </w:tcPr>
          <w:p>
            <w:pPr>
              <w:pStyle w:val="Normal"/>
              <w:spacing w:lineRule="auto" w:line="240" w:before="0" w:after="0"/>
              <w:rPr/>
            </w:pPr>
            <w:r>
              <w:rPr/>
              <w:t>4</w:t>
            </w:r>
          </w:p>
        </w:tc>
        <w:tc>
          <w:tcPr>
            <w:tcW w:w="764" w:type="dxa"/>
            <w:tcBorders/>
            <w:shd w:fill="auto" w:val="clear"/>
            <w:vAlign w:val="center"/>
          </w:tcPr>
          <w:p>
            <w:pPr>
              <w:pStyle w:val="Normal"/>
              <w:spacing w:lineRule="auto" w:line="240" w:before="0" w:after="0"/>
              <w:rPr/>
            </w:pPr>
            <w:r>
              <w:rPr/>
              <w:t>6</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Количество работающих на постоянной основе гидов – экскурсоводов, чел.</w:t>
            </w:r>
          </w:p>
        </w:tc>
        <w:tc>
          <w:tcPr>
            <w:tcW w:w="1390" w:type="dxa"/>
            <w:tcBorders/>
            <w:shd w:fill="auto" w:val="clear"/>
            <w:vAlign w:val="center"/>
          </w:tcPr>
          <w:p>
            <w:pPr>
              <w:pStyle w:val="Normal"/>
              <w:spacing w:lineRule="auto" w:line="240" w:before="0" w:after="0"/>
              <w:rPr/>
            </w:pPr>
            <w:r>
              <w:rPr/>
              <w:t>2</w:t>
            </w:r>
          </w:p>
        </w:tc>
        <w:tc>
          <w:tcPr>
            <w:tcW w:w="832" w:type="dxa"/>
            <w:tcBorders/>
            <w:shd w:fill="auto" w:val="clear"/>
            <w:vAlign w:val="center"/>
          </w:tcPr>
          <w:p>
            <w:pPr>
              <w:pStyle w:val="Normal"/>
              <w:spacing w:lineRule="auto" w:line="240" w:before="0" w:after="0"/>
              <w:rPr/>
            </w:pPr>
            <w:r>
              <w:rPr/>
              <w:t>3</w:t>
            </w:r>
          </w:p>
        </w:tc>
        <w:tc>
          <w:tcPr>
            <w:tcW w:w="833" w:type="dxa"/>
            <w:tcBorders/>
            <w:shd w:fill="auto" w:val="clear"/>
            <w:vAlign w:val="center"/>
          </w:tcPr>
          <w:p>
            <w:pPr>
              <w:pStyle w:val="Normal"/>
              <w:spacing w:lineRule="auto" w:line="240" w:before="0" w:after="0"/>
              <w:rPr/>
            </w:pPr>
            <w:r>
              <w:rPr/>
              <w:t>4</w:t>
            </w:r>
          </w:p>
        </w:tc>
        <w:tc>
          <w:tcPr>
            <w:tcW w:w="764" w:type="dxa"/>
            <w:tcBorders/>
            <w:shd w:fill="auto" w:val="clear"/>
            <w:vAlign w:val="center"/>
          </w:tcPr>
          <w:p>
            <w:pPr>
              <w:pStyle w:val="Normal"/>
              <w:spacing w:lineRule="auto" w:line="240" w:before="0" w:after="0"/>
              <w:rPr/>
            </w:pPr>
            <w:r>
              <w:rPr/>
              <w:t>6</w:t>
            </w:r>
          </w:p>
        </w:tc>
      </w:tr>
      <w:tr>
        <w:trPr/>
        <w:tc>
          <w:tcPr>
            <w:tcW w:w="9637" w:type="dxa"/>
            <w:gridSpan w:val="6"/>
            <w:tcBorders/>
            <w:shd w:fill="auto" w:val="clear"/>
          </w:tcPr>
          <w:p>
            <w:pPr>
              <w:pStyle w:val="Normal"/>
              <w:spacing w:lineRule="auto" w:line="240" w:before="0" w:after="0"/>
              <w:jc w:val="center"/>
              <w:rPr>
                <w:b/>
                <w:b/>
              </w:rPr>
            </w:pPr>
            <w:r>
              <w:rPr>
                <w:rFonts w:eastAsia="Calibri"/>
                <w:b/>
              </w:rPr>
              <w:t>1.2.4. Здравоохранение</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Кадровая обеспеченность системы здравоохранения:</w:t>
            </w:r>
          </w:p>
          <w:p>
            <w:pPr>
              <w:pStyle w:val="Normal"/>
              <w:spacing w:lineRule="auto" w:line="240" w:before="0" w:after="0"/>
              <w:rPr/>
            </w:pPr>
            <w:r>
              <w:rPr/>
              <w:t>врачи</w:t>
            </w:r>
          </w:p>
          <w:p>
            <w:pPr>
              <w:pStyle w:val="Normal"/>
              <w:spacing w:lineRule="auto" w:line="240" w:before="0" w:after="0"/>
              <w:rPr/>
            </w:pPr>
            <w:r>
              <w:rPr/>
              <w:t>средний медицинский персонал,%</w:t>
            </w:r>
          </w:p>
        </w:tc>
        <w:tc>
          <w:tcPr>
            <w:tcW w:w="1390" w:type="dxa"/>
            <w:tcBorders/>
            <w:shd w:fill="auto" w:val="clear"/>
            <w:vAlign w:val="cente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64,1</w:t>
            </w:r>
          </w:p>
          <w:p>
            <w:pPr>
              <w:pStyle w:val="Normal"/>
              <w:spacing w:lineRule="auto" w:line="240" w:before="0" w:after="0"/>
              <w:rPr/>
            </w:pPr>
            <w:r>
              <w:rPr/>
              <w:t>68,7</w:t>
            </w:r>
          </w:p>
        </w:tc>
        <w:tc>
          <w:tcPr>
            <w:tcW w:w="832" w:type="dxa"/>
            <w:tcBorders/>
            <w:shd w:fill="auto" w:val="clear"/>
            <w:vAlign w:val="cente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80,9</w:t>
            </w:r>
          </w:p>
          <w:p>
            <w:pPr>
              <w:pStyle w:val="Normal"/>
              <w:spacing w:lineRule="auto" w:line="240" w:before="0" w:after="0"/>
              <w:rPr/>
            </w:pPr>
            <w:r>
              <w:rPr/>
              <w:t>78,0</w:t>
            </w:r>
          </w:p>
        </w:tc>
        <w:tc>
          <w:tcPr>
            <w:tcW w:w="833" w:type="dxa"/>
            <w:tcBorders/>
            <w:shd w:fill="auto" w:val="clear"/>
            <w:vAlign w:val="cente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81,0</w:t>
            </w:r>
          </w:p>
          <w:p>
            <w:pPr>
              <w:pStyle w:val="Normal"/>
              <w:spacing w:lineRule="auto" w:line="240" w:before="0" w:after="0"/>
              <w:rPr/>
            </w:pPr>
            <w:r>
              <w:rPr/>
              <w:t>88,0</w:t>
            </w:r>
          </w:p>
        </w:tc>
        <w:tc>
          <w:tcPr>
            <w:tcW w:w="764" w:type="dxa"/>
            <w:tcBorders/>
            <w:shd w:fill="auto" w:val="clear"/>
            <w:vAlign w:val="cente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82,0</w:t>
            </w:r>
          </w:p>
          <w:p>
            <w:pPr>
              <w:pStyle w:val="Normal"/>
              <w:spacing w:lineRule="auto" w:line="240" w:before="0" w:after="0"/>
              <w:rPr/>
            </w:pPr>
            <w:r>
              <w:rPr/>
              <w:t>98,7</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Оснащённость учреждений здравоохранения медицинским оборудованием, лекарственными препаратами в соответствии с Правилами и Стандартами оказания медицинской помощи, %</w:t>
            </w:r>
          </w:p>
        </w:tc>
        <w:tc>
          <w:tcPr>
            <w:tcW w:w="1390" w:type="dxa"/>
            <w:tcBorders/>
            <w:shd w:fill="auto" w:val="clear"/>
            <w:vAlign w:val="center"/>
          </w:tcPr>
          <w:p>
            <w:pPr>
              <w:pStyle w:val="Normal"/>
              <w:spacing w:lineRule="auto" w:line="240" w:before="0" w:after="0"/>
              <w:rPr/>
            </w:pPr>
            <w:r>
              <w:rPr/>
              <w:t>70,0</w:t>
            </w:r>
          </w:p>
        </w:tc>
        <w:tc>
          <w:tcPr>
            <w:tcW w:w="832" w:type="dxa"/>
            <w:tcBorders/>
            <w:shd w:fill="auto" w:val="clear"/>
            <w:vAlign w:val="center"/>
          </w:tcPr>
          <w:p>
            <w:pPr>
              <w:pStyle w:val="Normal"/>
              <w:spacing w:lineRule="auto" w:line="240" w:before="0" w:after="0"/>
              <w:rPr/>
            </w:pPr>
            <w:r>
              <w:rPr/>
              <w:t>90,0</w:t>
            </w:r>
          </w:p>
        </w:tc>
        <w:tc>
          <w:tcPr>
            <w:tcW w:w="833" w:type="dxa"/>
            <w:tcBorders/>
            <w:shd w:fill="auto" w:val="clear"/>
            <w:vAlign w:val="center"/>
          </w:tcPr>
          <w:p>
            <w:pPr>
              <w:pStyle w:val="Normal"/>
              <w:spacing w:lineRule="auto" w:line="240" w:before="0" w:after="0"/>
              <w:rPr/>
            </w:pPr>
            <w:r>
              <w:rPr/>
              <w:t>90,0</w:t>
            </w:r>
          </w:p>
        </w:tc>
        <w:tc>
          <w:tcPr>
            <w:tcW w:w="764" w:type="dxa"/>
            <w:tcBorders/>
            <w:shd w:fill="auto" w:val="clear"/>
            <w:vAlign w:val="center"/>
          </w:tcPr>
          <w:p>
            <w:pPr>
              <w:pStyle w:val="Normal"/>
              <w:spacing w:lineRule="auto" w:line="240" w:before="0" w:after="0"/>
              <w:rPr/>
            </w:pPr>
            <w:r>
              <w:rPr/>
              <w:t>100,0</w:t>
            </w:r>
          </w:p>
        </w:tc>
      </w:tr>
      <w:tr>
        <w:trPr/>
        <w:tc>
          <w:tcPr>
            <w:tcW w:w="9637" w:type="dxa"/>
            <w:gridSpan w:val="6"/>
            <w:tcBorders/>
            <w:shd w:fill="auto" w:val="clear"/>
          </w:tcPr>
          <w:p>
            <w:pPr>
              <w:pStyle w:val="Normal"/>
              <w:spacing w:lineRule="auto" w:line="240" w:before="0" w:after="0"/>
              <w:jc w:val="center"/>
              <w:rPr>
                <w:b/>
                <w:b/>
              </w:rPr>
            </w:pPr>
            <w:r>
              <w:rPr>
                <w:rFonts w:eastAsia="Calibri"/>
                <w:b/>
              </w:rPr>
              <w:t>1.2.5. Физическая культура и спорт</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 xml:space="preserve">Число занимающихся спортом и физической культурой, чел. </w:t>
            </w:r>
          </w:p>
        </w:tc>
        <w:tc>
          <w:tcPr>
            <w:tcW w:w="1390" w:type="dxa"/>
            <w:tcBorders/>
            <w:shd w:fill="auto" w:val="clear"/>
            <w:vAlign w:val="center"/>
          </w:tcPr>
          <w:p>
            <w:pPr>
              <w:pStyle w:val="Normal"/>
              <w:spacing w:lineRule="auto" w:line="240" w:before="0" w:after="0"/>
              <w:rPr/>
            </w:pPr>
            <w:r>
              <w:rPr/>
              <w:t>6230</w:t>
            </w:r>
          </w:p>
        </w:tc>
        <w:tc>
          <w:tcPr>
            <w:tcW w:w="832" w:type="dxa"/>
            <w:tcBorders/>
            <w:shd w:fill="auto" w:val="clear"/>
            <w:vAlign w:val="center"/>
          </w:tcPr>
          <w:p>
            <w:pPr>
              <w:pStyle w:val="Normal"/>
              <w:spacing w:lineRule="auto" w:line="240" w:before="0" w:after="0"/>
              <w:rPr/>
            </w:pPr>
            <w:r>
              <w:rPr/>
              <w:t>7250</w:t>
            </w:r>
          </w:p>
        </w:tc>
        <w:tc>
          <w:tcPr>
            <w:tcW w:w="833" w:type="dxa"/>
            <w:tcBorders/>
            <w:shd w:fill="auto" w:val="clear"/>
            <w:vAlign w:val="center"/>
          </w:tcPr>
          <w:p>
            <w:pPr>
              <w:pStyle w:val="Normal"/>
              <w:spacing w:lineRule="auto" w:line="240" w:before="0" w:after="0"/>
              <w:rPr/>
            </w:pPr>
            <w:r>
              <w:rPr/>
              <w:t>9195</w:t>
            </w:r>
          </w:p>
        </w:tc>
        <w:tc>
          <w:tcPr>
            <w:tcW w:w="764" w:type="dxa"/>
            <w:tcBorders/>
            <w:shd w:fill="auto" w:val="clear"/>
            <w:vAlign w:val="center"/>
          </w:tcPr>
          <w:p>
            <w:pPr>
              <w:pStyle w:val="Normal"/>
              <w:spacing w:lineRule="auto" w:line="240" w:before="0" w:after="0"/>
              <w:rPr/>
            </w:pPr>
            <w:r>
              <w:rPr/>
              <w:t>10450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 xml:space="preserve">Доля граждан, систематически занимающихся спортом и физической культурой, в общей численности населения муниципального образования, % </w:t>
            </w:r>
          </w:p>
        </w:tc>
        <w:tc>
          <w:tcPr>
            <w:tcW w:w="1390" w:type="dxa"/>
            <w:tcBorders/>
            <w:shd w:fill="auto" w:val="clear"/>
            <w:vAlign w:val="center"/>
          </w:tcPr>
          <w:p>
            <w:pPr>
              <w:pStyle w:val="Normal"/>
              <w:spacing w:lineRule="auto" w:line="240" w:before="0" w:after="0"/>
              <w:rPr/>
            </w:pPr>
            <w:r>
              <w:rPr/>
              <w:t>35,0</w:t>
            </w:r>
          </w:p>
        </w:tc>
        <w:tc>
          <w:tcPr>
            <w:tcW w:w="832" w:type="dxa"/>
            <w:tcBorders/>
            <w:shd w:fill="auto" w:val="clear"/>
            <w:vAlign w:val="center"/>
          </w:tcPr>
          <w:p>
            <w:pPr>
              <w:pStyle w:val="Normal"/>
              <w:spacing w:lineRule="auto" w:line="240" w:before="0" w:after="0"/>
              <w:rPr/>
            </w:pPr>
            <w:r>
              <w:rPr/>
              <w:t>43,2</w:t>
            </w:r>
          </w:p>
        </w:tc>
        <w:tc>
          <w:tcPr>
            <w:tcW w:w="833" w:type="dxa"/>
            <w:tcBorders/>
            <w:shd w:fill="auto" w:val="clear"/>
            <w:vAlign w:val="center"/>
          </w:tcPr>
          <w:p>
            <w:pPr>
              <w:pStyle w:val="Normal"/>
              <w:spacing w:lineRule="auto" w:line="240" w:before="0" w:after="0"/>
              <w:rPr/>
            </w:pPr>
            <w:r>
              <w:rPr/>
              <w:t>55,0</w:t>
            </w:r>
          </w:p>
        </w:tc>
        <w:tc>
          <w:tcPr>
            <w:tcW w:w="764" w:type="dxa"/>
            <w:tcBorders/>
            <w:shd w:fill="auto" w:val="clear"/>
            <w:vAlign w:val="center"/>
          </w:tcPr>
          <w:p>
            <w:pPr>
              <w:pStyle w:val="Normal"/>
              <w:spacing w:lineRule="auto" w:line="240" w:before="0" w:after="0"/>
              <w:rPr/>
            </w:pPr>
            <w:r>
              <w:rPr/>
              <w:t>63,0</w:t>
            </w:r>
          </w:p>
        </w:tc>
      </w:tr>
      <w:tr>
        <w:trPr/>
        <w:tc>
          <w:tcPr>
            <w:tcW w:w="9637" w:type="dxa"/>
            <w:gridSpan w:val="6"/>
            <w:tcBorders/>
            <w:shd w:fill="auto" w:val="clear"/>
          </w:tcPr>
          <w:p>
            <w:pPr>
              <w:pStyle w:val="Normal"/>
              <w:spacing w:lineRule="auto" w:line="240" w:before="0" w:after="0"/>
              <w:jc w:val="center"/>
              <w:rPr>
                <w:b/>
                <w:b/>
              </w:rPr>
            </w:pPr>
            <w:r>
              <w:rPr>
                <w:b/>
              </w:rPr>
              <w:t>1.3. Создание условий для успешной социализации, самореализации молодёжи, вовлечения в общественно полезную деятельность</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Доля молодёжи (14-30 лет), охваченной мероприятиями молодёжной политики, %</w:t>
            </w:r>
          </w:p>
        </w:tc>
        <w:tc>
          <w:tcPr>
            <w:tcW w:w="1390" w:type="dxa"/>
            <w:tcBorders/>
            <w:shd w:fill="auto" w:val="clear"/>
            <w:vAlign w:val="center"/>
          </w:tcPr>
          <w:p>
            <w:pPr>
              <w:pStyle w:val="Normal"/>
              <w:spacing w:lineRule="auto" w:line="240" w:before="0" w:after="0"/>
              <w:rPr/>
            </w:pPr>
            <w:r>
              <w:rPr/>
              <w:t>38,2</w:t>
            </w:r>
          </w:p>
        </w:tc>
        <w:tc>
          <w:tcPr>
            <w:tcW w:w="832" w:type="dxa"/>
            <w:tcBorders/>
            <w:shd w:fill="auto" w:val="clear"/>
            <w:vAlign w:val="center"/>
          </w:tcPr>
          <w:p>
            <w:pPr>
              <w:pStyle w:val="Normal"/>
              <w:spacing w:lineRule="auto" w:line="240" w:before="0" w:after="0"/>
              <w:rPr/>
            </w:pPr>
            <w:r>
              <w:rPr/>
              <w:t>60,0</w:t>
            </w:r>
          </w:p>
        </w:tc>
        <w:tc>
          <w:tcPr>
            <w:tcW w:w="833" w:type="dxa"/>
            <w:tcBorders/>
            <w:shd w:fill="auto" w:val="clear"/>
            <w:vAlign w:val="center"/>
          </w:tcPr>
          <w:p>
            <w:pPr>
              <w:pStyle w:val="Normal"/>
              <w:spacing w:lineRule="auto" w:line="240" w:before="0" w:after="0"/>
              <w:rPr/>
            </w:pPr>
            <w:r>
              <w:rPr/>
              <w:t>80,0</w:t>
            </w:r>
          </w:p>
        </w:tc>
        <w:tc>
          <w:tcPr>
            <w:tcW w:w="764" w:type="dxa"/>
            <w:tcBorders/>
            <w:shd w:fill="auto" w:val="clear"/>
            <w:vAlign w:val="center"/>
          </w:tcPr>
          <w:p>
            <w:pPr>
              <w:pStyle w:val="Normal"/>
              <w:spacing w:lineRule="auto" w:line="240" w:before="0" w:after="0"/>
              <w:rPr/>
            </w:pPr>
            <w:r>
              <w:rPr/>
              <w:t>90,0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Доля выпускников профессиональных образовательных организаций и образовательных организаций высшего образования, трудоустроившихся на территории Тереньгульского района,%</w:t>
            </w:r>
          </w:p>
        </w:tc>
        <w:tc>
          <w:tcPr>
            <w:tcW w:w="1390" w:type="dxa"/>
            <w:tcBorders/>
            <w:shd w:fill="auto" w:val="clear"/>
            <w:vAlign w:val="center"/>
          </w:tcPr>
          <w:p>
            <w:pPr>
              <w:pStyle w:val="Normal"/>
              <w:spacing w:lineRule="auto" w:line="240" w:before="0" w:after="0"/>
              <w:rPr/>
            </w:pPr>
            <w:r>
              <w:rPr/>
              <w:t>39,5</w:t>
            </w:r>
          </w:p>
        </w:tc>
        <w:tc>
          <w:tcPr>
            <w:tcW w:w="832" w:type="dxa"/>
            <w:tcBorders/>
            <w:shd w:fill="auto" w:val="clear"/>
            <w:vAlign w:val="center"/>
          </w:tcPr>
          <w:p>
            <w:pPr>
              <w:pStyle w:val="Normal"/>
              <w:spacing w:lineRule="auto" w:line="240" w:before="0" w:after="0"/>
              <w:rPr/>
            </w:pPr>
            <w:r>
              <w:rPr/>
              <w:t>50,0</w:t>
            </w:r>
          </w:p>
        </w:tc>
        <w:tc>
          <w:tcPr>
            <w:tcW w:w="833" w:type="dxa"/>
            <w:tcBorders/>
            <w:shd w:fill="auto" w:val="clear"/>
            <w:vAlign w:val="center"/>
          </w:tcPr>
          <w:p>
            <w:pPr>
              <w:pStyle w:val="Normal"/>
              <w:spacing w:lineRule="auto" w:line="240" w:before="0" w:after="0"/>
              <w:rPr/>
            </w:pPr>
            <w:r>
              <w:rPr/>
              <w:t>50,6</w:t>
            </w:r>
          </w:p>
        </w:tc>
        <w:tc>
          <w:tcPr>
            <w:tcW w:w="764" w:type="dxa"/>
            <w:tcBorders/>
            <w:shd w:fill="auto" w:val="clear"/>
            <w:vAlign w:val="center"/>
          </w:tcPr>
          <w:p>
            <w:pPr>
              <w:pStyle w:val="Normal"/>
              <w:spacing w:lineRule="auto" w:line="240" w:before="0" w:after="0"/>
              <w:rPr/>
            </w:pPr>
            <w:r>
              <w:rPr/>
              <w:t>60,0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Уровень удовлетворённости молодёжи условиями проживания и возможностью самореализации на территории муниципального образования, % опрошенных</w:t>
            </w:r>
          </w:p>
        </w:tc>
        <w:tc>
          <w:tcPr>
            <w:tcW w:w="1390" w:type="dxa"/>
            <w:tcBorders/>
            <w:shd w:fill="auto" w:val="clear"/>
            <w:vAlign w:val="center"/>
          </w:tcPr>
          <w:p>
            <w:pPr>
              <w:pStyle w:val="Normal"/>
              <w:spacing w:lineRule="auto" w:line="240" w:before="0" w:after="0"/>
              <w:rPr/>
            </w:pPr>
            <w:r>
              <w:rPr/>
              <w:t>40,0</w:t>
            </w:r>
          </w:p>
        </w:tc>
        <w:tc>
          <w:tcPr>
            <w:tcW w:w="832" w:type="dxa"/>
            <w:tcBorders/>
            <w:shd w:fill="auto" w:val="clear"/>
            <w:vAlign w:val="center"/>
          </w:tcPr>
          <w:p>
            <w:pPr>
              <w:pStyle w:val="Normal"/>
              <w:spacing w:lineRule="auto" w:line="240" w:before="0" w:after="0"/>
              <w:rPr/>
            </w:pPr>
            <w:r>
              <w:rPr/>
              <w:t>50,0</w:t>
            </w:r>
          </w:p>
        </w:tc>
        <w:tc>
          <w:tcPr>
            <w:tcW w:w="833" w:type="dxa"/>
            <w:tcBorders/>
            <w:shd w:fill="auto" w:val="clear"/>
            <w:vAlign w:val="center"/>
          </w:tcPr>
          <w:p>
            <w:pPr>
              <w:pStyle w:val="Normal"/>
              <w:spacing w:lineRule="auto" w:line="240" w:before="0" w:after="0"/>
              <w:rPr/>
            </w:pPr>
            <w:r>
              <w:rPr/>
              <w:t>60,0</w:t>
            </w:r>
          </w:p>
        </w:tc>
        <w:tc>
          <w:tcPr>
            <w:tcW w:w="764" w:type="dxa"/>
            <w:tcBorders/>
            <w:shd w:fill="auto" w:val="clear"/>
            <w:vAlign w:val="center"/>
          </w:tcPr>
          <w:p>
            <w:pPr>
              <w:pStyle w:val="Normal"/>
              <w:spacing w:lineRule="auto" w:line="240" w:before="0" w:after="0"/>
              <w:rPr/>
            </w:pPr>
            <w:r>
              <w:rPr/>
              <w:t>70,0</w:t>
            </w:r>
          </w:p>
        </w:tc>
      </w:tr>
      <w:tr>
        <w:trPr/>
        <w:tc>
          <w:tcPr>
            <w:tcW w:w="9637" w:type="dxa"/>
            <w:gridSpan w:val="6"/>
            <w:tcBorders/>
            <w:shd w:fill="auto" w:val="clear"/>
          </w:tcPr>
          <w:p>
            <w:pPr>
              <w:pStyle w:val="ListParagraph"/>
              <w:tabs>
                <w:tab w:val="clear" w:pos="708"/>
                <w:tab w:val="left" w:pos="993" w:leader="none"/>
                <w:tab w:val="left" w:pos="1134" w:leader="none"/>
              </w:tabs>
              <w:spacing w:lineRule="auto" w:line="240" w:before="0" w:after="0"/>
              <w:ind w:left="0" w:hanging="0"/>
              <w:contextualSpacing/>
              <w:jc w:val="center"/>
              <w:rPr>
                <w:b/>
                <w:b/>
              </w:rPr>
            </w:pPr>
            <w:bookmarkStart w:id="76" w:name="_Toc4084459"/>
            <w:r>
              <w:rPr>
                <w:b/>
              </w:rPr>
              <w:t>2.РАЗВИТИЕ ЭКОНОМИКИ, СОЗДАНИЕ БЛАГОПРИЯТНОГО ИНВЕСТИЦИОННОГО И ПРЕДПРИНИМАТЕЛЬСКОГО КЛИМАТА</w:t>
            </w:r>
            <w:bookmarkEnd w:id="76"/>
          </w:p>
        </w:tc>
      </w:tr>
      <w:tr>
        <w:trPr/>
        <w:tc>
          <w:tcPr>
            <w:tcW w:w="9637" w:type="dxa"/>
            <w:gridSpan w:val="6"/>
            <w:tcBorders/>
            <w:shd w:fill="auto" w:val="clear"/>
          </w:tcPr>
          <w:p>
            <w:pPr>
              <w:pStyle w:val="Normal"/>
              <w:spacing w:lineRule="auto" w:line="240" w:before="0" w:after="0"/>
              <w:jc w:val="center"/>
              <w:rPr>
                <w:b/>
                <w:b/>
              </w:rPr>
            </w:pPr>
            <w:bookmarkStart w:id="77" w:name="_Toc4084460"/>
            <w:r>
              <w:rPr>
                <w:b/>
              </w:rPr>
              <w:t>2.1. Промышленность</w:t>
            </w:r>
            <w:bookmarkEnd w:id="77"/>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Объём отгруженных товаров собственного производства в промышленности, млн. руб.</w:t>
            </w:r>
          </w:p>
        </w:tc>
        <w:tc>
          <w:tcPr>
            <w:tcW w:w="1390" w:type="dxa"/>
            <w:tcBorders/>
            <w:shd w:fill="auto" w:val="clear"/>
            <w:vAlign w:val="center"/>
          </w:tcPr>
          <w:p>
            <w:pPr>
              <w:pStyle w:val="Normal"/>
              <w:spacing w:lineRule="auto" w:line="240" w:before="0" w:after="0"/>
              <w:rPr/>
            </w:pPr>
            <w:r>
              <w:rPr/>
              <w:t>935,5</w:t>
            </w:r>
          </w:p>
        </w:tc>
        <w:tc>
          <w:tcPr>
            <w:tcW w:w="832" w:type="dxa"/>
            <w:tcBorders/>
            <w:shd w:fill="auto" w:val="clear"/>
            <w:vAlign w:val="center"/>
          </w:tcPr>
          <w:p>
            <w:pPr>
              <w:pStyle w:val="Normal"/>
              <w:spacing w:lineRule="auto" w:line="240" w:before="0" w:after="0"/>
              <w:rPr/>
            </w:pPr>
            <w:r>
              <w:rPr/>
              <w:t>1120</w:t>
            </w:r>
          </w:p>
        </w:tc>
        <w:tc>
          <w:tcPr>
            <w:tcW w:w="833" w:type="dxa"/>
            <w:tcBorders/>
            <w:shd w:fill="auto" w:val="clear"/>
            <w:vAlign w:val="center"/>
          </w:tcPr>
          <w:p>
            <w:pPr>
              <w:pStyle w:val="Normal"/>
              <w:spacing w:lineRule="auto" w:line="240" w:before="0" w:after="0"/>
              <w:rPr/>
            </w:pPr>
            <w:r>
              <w:rPr/>
              <w:t>1530</w:t>
            </w:r>
          </w:p>
        </w:tc>
        <w:tc>
          <w:tcPr>
            <w:tcW w:w="764" w:type="dxa"/>
            <w:tcBorders/>
            <w:shd w:fill="auto" w:val="clear"/>
            <w:vAlign w:val="center"/>
          </w:tcPr>
          <w:p>
            <w:pPr>
              <w:pStyle w:val="Normal"/>
              <w:spacing w:lineRule="auto" w:line="240" w:before="0" w:after="0"/>
              <w:rPr/>
            </w:pPr>
            <w:r>
              <w:rPr/>
              <w:t>1870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Среднемесячная заработная плата работников в промышленной отрасли, тыс. руб.</w:t>
            </w:r>
          </w:p>
        </w:tc>
        <w:tc>
          <w:tcPr>
            <w:tcW w:w="1390" w:type="dxa"/>
            <w:tcBorders/>
            <w:shd w:fill="auto" w:val="clear"/>
            <w:vAlign w:val="center"/>
          </w:tcPr>
          <w:p>
            <w:pPr>
              <w:pStyle w:val="Normal"/>
              <w:spacing w:lineRule="auto" w:line="240" w:before="0" w:after="0"/>
              <w:rPr/>
            </w:pPr>
            <w:r>
              <w:rPr/>
              <w:t>15944,3</w:t>
            </w:r>
          </w:p>
        </w:tc>
        <w:tc>
          <w:tcPr>
            <w:tcW w:w="832" w:type="dxa"/>
            <w:tcBorders/>
            <w:shd w:fill="auto" w:val="clear"/>
            <w:vAlign w:val="center"/>
          </w:tcPr>
          <w:p>
            <w:pPr>
              <w:pStyle w:val="Normal"/>
              <w:spacing w:lineRule="auto" w:line="240" w:before="0" w:after="0"/>
              <w:rPr/>
            </w:pPr>
            <w:r>
              <w:rPr/>
              <w:t>24608,9</w:t>
            </w:r>
          </w:p>
        </w:tc>
        <w:tc>
          <w:tcPr>
            <w:tcW w:w="833" w:type="dxa"/>
            <w:tcBorders/>
            <w:shd w:fill="auto" w:val="clear"/>
            <w:vAlign w:val="center"/>
          </w:tcPr>
          <w:p>
            <w:pPr>
              <w:pStyle w:val="Normal"/>
              <w:spacing w:lineRule="auto" w:line="240" w:before="0" w:after="0"/>
              <w:rPr/>
            </w:pPr>
            <w:r>
              <w:rPr/>
              <w:t>32257,3</w:t>
            </w:r>
          </w:p>
        </w:tc>
        <w:tc>
          <w:tcPr>
            <w:tcW w:w="764" w:type="dxa"/>
            <w:tcBorders/>
            <w:shd w:fill="auto" w:val="clear"/>
            <w:vAlign w:val="center"/>
          </w:tcPr>
          <w:p>
            <w:pPr>
              <w:pStyle w:val="Normal"/>
              <w:spacing w:lineRule="auto" w:line="240" w:before="0" w:after="0"/>
              <w:rPr/>
            </w:pPr>
            <w:r>
              <w:rPr/>
              <w:t>48409,4</w:t>
            </w:r>
          </w:p>
        </w:tc>
      </w:tr>
      <w:tr>
        <w:trPr/>
        <w:tc>
          <w:tcPr>
            <w:tcW w:w="9637" w:type="dxa"/>
            <w:gridSpan w:val="6"/>
            <w:tcBorders/>
            <w:shd w:fill="auto" w:val="clear"/>
          </w:tcPr>
          <w:p>
            <w:pPr>
              <w:pStyle w:val="Normal"/>
              <w:spacing w:lineRule="auto" w:line="240" w:before="0" w:after="0"/>
              <w:jc w:val="center"/>
              <w:rPr>
                <w:b/>
                <w:b/>
              </w:rPr>
            </w:pPr>
            <w:bookmarkStart w:id="78" w:name="_Toc4084461"/>
            <w:r>
              <w:rPr>
                <w:b/>
              </w:rPr>
              <w:t>2.2. Жилищное строительство</w:t>
            </w:r>
            <w:bookmarkEnd w:id="78"/>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Ввод в действие жилых домов, тыс. кв. м</w:t>
            </w:r>
          </w:p>
        </w:tc>
        <w:tc>
          <w:tcPr>
            <w:tcW w:w="1390" w:type="dxa"/>
            <w:tcBorders/>
            <w:shd w:fill="auto" w:val="clear"/>
            <w:vAlign w:val="center"/>
          </w:tcPr>
          <w:p>
            <w:pPr>
              <w:pStyle w:val="Normal"/>
              <w:spacing w:lineRule="auto" w:line="240" w:before="0" w:after="0"/>
              <w:rPr/>
            </w:pPr>
            <w:r>
              <w:rPr/>
              <w:t>14,7</w:t>
            </w:r>
          </w:p>
        </w:tc>
        <w:tc>
          <w:tcPr>
            <w:tcW w:w="832" w:type="dxa"/>
            <w:tcBorders/>
            <w:shd w:fill="auto" w:val="clear"/>
            <w:vAlign w:val="center"/>
          </w:tcPr>
          <w:p>
            <w:pPr>
              <w:pStyle w:val="Normal"/>
              <w:spacing w:lineRule="auto" w:line="240" w:before="0" w:after="0"/>
              <w:rPr/>
            </w:pPr>
            <w:r>
              <w:rPr/>
              <w:t>17</w:t>
            </w:r>
          </w:p>
        </w:tc>
        <w:tc>
          <w:tcPr>
            <w:tcW w:w="833" w:type="dxa"/>
            <w:tcBorders/>
            <w:shd w:fill="auto" w:val="clear"/>
            <w:vAlign w:val="center"/>
          </w:tcPr>
          <w:p>
            <w:pPr>
              <w:pStyle w:val="Normal"/>
              <w:spacing w:lineRule="auto" w:line="240" w:before="0" w:after="0"/>
              <w:rPr/>
            </w:pPr>
            <w:r>
              <w:rPr/>
              <w:t>21,5</w:t>
            </w:r>
          </w:p>
        </w:tc>
        <w:tc>
          <w:tcPr>
            <w:tcW w:w="764" w:type="dxa"/>
            <w:tcBorders/>
            <w:shd w:fill="auto" w:val="clear"/>
            <w:vAlign w:val="center"/>
          </w:tcPr>
          <w:p>
            <w:pPr>
              <w:pStyle w:val="Normal"/>
              <w:spacing w:lineRule="auto" w:line="240" w:before="0" w:after="0"/>
              <w:rPr/>
            </w:pPr>
            <w:r>
              <w:rPr/>
              <w:t>22</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t>П</w:t>
            </w:r>
            <w:r>
              <w:rPr>
                <w:spacing w:val="-4"/>
              </w:rPr>
              <w:t>лощадь жилищ, приходящаяся в среднем  на одного жителя, кв. м</w:t>
            </w:r>
          </w:p>
        </w:tc>
        <w:tc>
          <w:tcPr>
            <w:tcW w:w="1390" w:type="dxa"/>
            <w:tcBorders/>
            <w:shd w:fill="auto" w:val="clear"/>
            <w:vAlign w:val="center"/>
          </w:tcPr>
          <w:p>
            <w:pPr>
              <w:pStyle w:val="Normal"/>
              <w:spacing w:lineRule="auto" w:line="240" w:before="0" w:after="0"/>
              <w:rPr/>
            </w:pPr>
            <w:r>
              <w:rPr/>
              <w:t>28,5</w:t>
            </w:r>
          </w:p>
        </w:tc>
        <w:tc>
          <w:tcPr>
            <w:tcW w:w="832" w:type="dxa"/>
            <w:tcBorders/>
            <w:shd w:fill="auto" w:val="clear"/>
            <w:vAlign w:val="center"/>
          </w:tcPr>
          <w:p>
            <w:pPr>
              <w:pStyle w:val="Normal"/>
              <w:spacing w:lineRule="auto" w:line="240" w:before="0" w:after="0"/>
              <w:rPr/>
            </w:pPr>
            <w:r>
              <w:rPr/>
              <w:t>29,2</w:t>
            </w:r>
          </w:p>
        </w:tc>
        <w:tc>
          <w:tcPr>
            <w:tcW w:w="833" w:type="dxa"/>
            <w:tcBorders/>
            <w:shd w:fill="auto" w:val="clear"/>
            <w:vAlign w:val="center"/>
          </w:tcPr>
          <w:p>
            <w:pPr>
              <w:pStyle w:val="Normal"/>
              <w:spacing w:lineRule="auto" w:line="240" w:before="0" w:after="0"/>
              <w:rPr/>
            </w:pPr>
            <w:r>
              <w:rPr/>
              <w:t>30,5</w:t>
            </w:r>
          </w:p>
        </w:tc>
        <w:tc>
          <w:tcPr>
            <w:tcW w:w="764" w:type="dxa"/>
            <w:tcBorders/>
            <w:shd w:fill="auto" w:val="clear"/>
            <w:vAlign w:val="center"/>
          </w:tcPr>
          <w:p>
            <w:pPr>
              <w:pStyle w:val="Normal"/>
              <w:spacing w:lineRule="auto" w:line="240" w:before="0" w:after="0"/>
              <w:rPr/>
            </w:pPr>
            <w:r>
              <w:rPr/>
              <w:t>31</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Ветхий и аварийный жилищный фонд, тыс. кв. м.</w:t>
            </w:r>
          </w:p>
        </w:tc>
        <w:tc>
          <w:tcPr>
            <w:tcW w:w="1390" w:type="dxa"/>
            <w:tcBorders/>
            <w:shd w:fill="auto" w:val="clear"/>
            <w:vAlign w:val="center"/>
          </w:tcPr>
          <w:p>
            <w:pPr>
              <w:pStyle w:val="Normal"/>
              <w:spacing w:lineRule="auto" w:line="240" w:before="0" w:after="0"/>
              <w:rPr/>
            </w:pPr>
            <w:r>
              <w:rPr/>
              <w:t>2,8</w:t>
            </w:r>
          </w:p>
        </w:tc>
        <w:tc>
          <w:tcPr>
            <w:tcW w:w="832" w:type="dxa"/>
            <w:tcBorders/>
            <w:shd w:fill="auto" w:val="clear"/>
            <w:vAlign w:val="center"/>
          </w:tcPr>
          <w:p>
            <w:pPr>
              <w:pStyle w:val="Normal"/>
              <w:spacing w:lineRule="auto" w:line="240" w:before="0" w:after="0"/>
              <w:rPr/>
            </w:pPr>
            <w:r>
              <w:rPr/>
              <w:t>2,1</w:t>
            </w:r>
          </w:p>
        </w:tc>
        <w:tc>
          <w:tcPr>
            <w:tcW w:w="833" w:type="dxa"/>
            <w:tcBorders/>
            <w:shd w:fill="auto" w:val="clear"/>
            <w:vAlign w:val="center"/>
          </w:tcPr>
          <w:p>
            <w:pPr>
              <w:pStyle w:val="Normal"/>
              <w:spacing w:lineRule="auto" w:line="240" w:before="0" w:after="0"/>
              <w:rPr/>
            </w:pPr>
            <w:r>
              <w:rPr/>
              <w:t>1,6</w:t>
            </w:r>
          </w:p>
        </w:tc>
        <w:tc>
          <w:tcPr>
            <w:tcW w:w="764" w:type="dxa"/>
            <w:tcBorders/>
            <w:shd w:fill="auto" w:val="clear"/>
            <w:vAlign w:val="center"/>
          </w:tcPr>
          <w:p>
            <w:pPr>
              <w:pStyle w:val="Normal"/>
              <w:spacing w:lineRule="auto" w:line="240" w:before="0" w:after="0"/>
              <w:rPr/>
            </w:pPr>
            <w:r>
              <w:rPr/>
              <w:t>0</w:t>
            </w:r>
          </w:p>
        </w:tc>
      </w:tr>
      <w:tr>
        <w:trPr/>
        <w:tc>
          <w:tcPr>
            <w:tcW w:w="9637" w:type="dxa"/>
            <w:gridSpan w:val="6"/>
            <w:tcBorders/>
            <w:shd w:fill="auto" w:val="clear"/>
          </w:tcPr>
          <w:p>
            <w:pPr>
              <w:pStyle w:val="Normal"/>
              <w:spacing w:lineRule="auto" w:line="240" w:before="0" w:after="0"/>
              <w:jc w:val="center"/>
              <w:rPr>
                <w:b/>
                <w:b/>
              </w:rPr>
            </w:pPr>
            <w:bookmarkStart w:id="79" w:name="_Toc4084462"/>
            <w:r>
              <w:rPr>
                <w:b/>
              </w:rPr>
              <w:t>2.3. Развитие сельского хозяйства</w:t>
            </w:r>
            <w:bookmarkEnd w:id="79"/>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lang w:eastAsia="ru-RU"/>
              </w:rPr>
              <w:t>Среднегодовой темп прироста производства продукции сельского хозяйства, %</w:t>
            </w:r>
          </w:p>
        </w:tc>
        <w:tc>
          <w:tcPr>
            <w:tcW w:w="1390" w:type="dxa"/>
            <w:tcBorders/>
            <w:shd w:fill="auto" w:val="clear"/>
            <w:vAlign w:val="center"/>
          </w:tcPr>
          <w:p>
            <w:pPr>
              <w:pStyle w:val="Normal"/>
              <w:spacing w:lineRule="auto" w:line="240" w:before="0" w:after="0"/>
              <w:rPr>
                <w:rFonts w:eastAsia="Calibri"/>
              </w:rPr>
            </w:pPr>
            <w:r>
              <w:rPr>
                <w:rFonts w:eastAsia="Calibri"/>
              </w:rPr>
              <w:t>1,3</w:t>
            </w:r>
          </w:p>
        </w:tc>
        <w:tc>
          <w:tcPr>
            <w:tcW w:w="832" w:type="dxa"/>
            <w:tcBorders/>
            <w:shd w:fill="auto" w:val="clear"/>
            <w:vAlign w:val="center"/>
          </w:tcPr>
          <w:p>
            <w:pPr>
              <w:pStyle w:val="Normal"/>
              <w:spacing w:lineRule="auto" w:line="240" w:before="0" w:after="0"/>
              <w:rPr>
                <w:rFonts w:eastAsia="Calibri"/>
              </w:rPr>
            </w:pPr>
            <w:r>
              <w:rPr>
                <w:rFonts w:eastAsia="Calibri"/>
              </w:rPr>
              <w:t>1,3</w:t>
            </w:r>
          </w:p>
        </w:tc>
        <w:tc>
          <w:tcPr>
            <w:tcW w:w="833" w:type="dxa"/>
            <w:tcBorders/>
            <w:shd w:fill="auto" w:val="clear"/>
            <w:vAlign w:val="center"/>
          </w:tcPr>
          <w:p>
            <w:pPr>
              <w:pStyle w:val="Normal"/>
              <w:spacing w:lineRule="auto" w:line="240" w:before="0" w:after="0"/>
              <w:rPr>
                <w:rFonts w:eastAsia="Calibri"/>
              </w:rPr>
            </w:pPr>
            <w:r>
              <w:rPr>
                <w:rFonts w:eastAsia="Calibri"/>
              </w:rPr>
              <w:t>1,3</w:t>
            </w:r>
          </w:p>
        </w:tc>
        <w:tc>
          <w:tcPr>
            <w:tcW w:w="764" w:type="dxa"/>
            <w:tcBorders/>
            <w:shd w:fill="auto" w:val="clear"/>
            <w:vAlign w:val="center"/>
          </w:tcPr>
          <w:p>
            <w:pPr>
              <w:pStyle w:val="Normal"/>
              <w:spacing w:lineRule="auto" w:line="240" w:before="0" w:after="0"/>
              <w:rPr>
                <w:rFonts w:eastAsia="Calibri"/>
              </w:rPr>
            </w:pPr>
            <w:r>
              <w:rPr>
                <w:rFonts w:eastAsia="Calibri"/>
              </w:rPr>
              <w:t>1,3</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lang w:eastAsia="ru-RU"/>
              </w:rPr>
              <w:t>Доля крестьянских (фермерских) хозяйств и индивидуальных предпринимателей в производстве продукции сельского хозяйства</w:t>
            </w:r>
            <w:r>
              <w:rPr>
                <w:rFonts w:eastAsia="Calibri"/>
              </w:rPr>
              <w:t>, %</w:t>
            </w:r>
          </w:p>
        </w:tc>
        <w:tc>
          <w:tcPr>
            <w:tcW w:w="1390" w:type="dxa"/>
            <w:tcBorders/>
            <w:shd w:fill="auto" w:val="clear"/>
            <w:vAlign w:val="center"/>
          </w:tcPr>
          <w:p>
            <w:pPr>
              <w:pStyle w:val="Normal"/>
              <w:spacing w:lineRule="auto" w:line="240" w:before="0" w:after="0"/>
              <w:rPr>
                <w:rFonts w:eastAsia="Calibri"/>
              </w:rPr>
            </w:pPr>
            <w:r>
              <w:rPr>
                <w:rFonts w:eastAsia="Calibri"/>
              </w:rPr>
              <w:t>7,5</w:t>
            </w:r>
          </w:p>
        </w:tc>
        <w:tc>
          <w:tcPr>
            <w:tcW w:w="832" w:type="dxa"/>
            <w:tcBorders/>
            <w:shd w:fill="auto" w:val="clear"/>
            <w:vAlign w:val="center"/>
          </w:tcPr>
          <w:p>
            <w:pPr>
              <w:pStyle w:val="Normal"/>
              <w:spacing w:lineRule="auto" w:line="240" w:before="0" w:after="0"/>
              <w:rPr>
                <w:rFonts w:eastAsia="Calibri"/>
              </w:rPr>
            </w:pPr>
            <w:r>
              <w:rPr>
                <w:rFonts w:eastAsia="Calibri"/>
              </w:rPr>
              <w:t>10</w:t>
            </w:r>
          </w:p>
        </w:tc>
        <w:tc>
          <w:tcPr>
            <w:tcW w:w="833" w:type="dxa"/>
            <w:tcBorders/>
            <w:shd w:fill="auto" w:val="clear"/>
            <w:vAlign w:val="center"/>
          </w:tcPr>
          <w:p>
            <w:pPr>
              <w:pStyle w:val="Normal"/>
              <w:spacing w:lineRule="auto" w:line="240" w:before="0" w:after="0"/>
              <w:rPr>
                <w:rFonts w:eastAsia="Calibri"/>
              </w:rPr>
            </w:pPr>
            <w:r>
              <w:rPr>
                <w:rFonts w:eastAsia="Calibri"/>
              </w:rPr>
              <w:t>15</w:t>
            </w:r>
          </w:p>
        </w:tc>
        <w:tc>
          <w:tcPr>
            <w:tcW w:w="764" w:type="dxa"/>
            <w:tcBorders/>
            <w:shd w:fill="auto" w:val="clear"/>
            <w:vAlign w:val="center"/>
          </w:tcPr>
          <w:p>
            <w:pPr>
              <w:pStyle w:val="Normal"/>
              <w:spacing w:lineRule="auto" w:line="240" w:before="0" w:after="0"/>
              <w:rPr>
                <w:rFonts w:eastAsia="Calibri"/>
              </w:rPr>
            </w:pPr>
            <w:r>
              <w:rPr>
                <w:rFonts w:eastAsia="Calibri"/>
              </w:rPr>
              <w:t>20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lang w:eastAsia="ru-RU"/>
              </w:rPr>
              <w:t>Среднегодовой темп прироста выручки от продажи товаров, продукции, работ и услуг сельскохозяйственных потребительских кооперативов, %</w:t>
            </w:r>
          </w:p>
        </w:tc>
        <w:tc>
          <w:tcPr>
            <w:tcW w:w="1390" w:type="dxa"/>
            <w:tcBorders/>
            <w:shd w:fill="auto" w:val="clear"/>
            <w:vAlign w:val="center"/>
          </w:tcPr>
          <w:p>
            <w:pPr>
              <w:pStyle w:val="Normal"/>
              <w:spacing w:lineRule="auto" w:line="240" w:before="0" w:after="0"/>
              <w:rPr>
                <w:rFonts w:eastAsia="Calibri"/>
              </w:rPr>
            </w:pPr>
            <w:r>
              <w:rPr>
                <w:rFonts w:eastAsia="Calibri"/>
              </w:rPr>
              <w:t>-</w:t>
            </w:r>
          </w:p>
        </w:tc>
        <w:tc>
          <w:tcPr>
            <w:tcW w:w="832" w:type="dxa"/>
            <w:tcBorders/>
            <w:shd w:fill="auto" w:val="clear"/>
            <w:vAlign w:val="center"/>
          </w:tcPr>
          <w:p>
            <w:pPr>
              <w:pStyle w:val="Normal"/>
              <w:spacing w:lineRule="auto" w:line="240" w:before="0" w:after="0"/>
              <w:rPr>
                <w:rFonts w:eastAsia="Calibri"/>
              </w:rPr>
            </w:pPr>
            <w:r>
              <w:rPr>
                <w:rFonts w:eastAsia="Calibri"/>
              </w:rPr>
              <w:t>8</w:t>
            </w:r>
          </w:p>
        </w:tc>
        <w:tc>
          <w:tcPr>
            <w:tcW w:w="833" w:type="dxa"/>
            <w:tcBorders/>
            <w:shd w:fill="auto" w:val="clear"/>
            <w:vAlign w:val="center"/>
          </w:tcPr>
          <w:p>
            <w:pPr>
              <w:pStyle w:val="Normal"/>
              <w:spacing w:lineRule="auto" w:line="240" w:before="0" w:after="0"/>
              <w:rPr>
                <w:rFonts w:eastAsia="Calibri"/>
              </w:rPr>
            </w:pPr>
            <w:r>
              <w:rPr>
                <w:rFonts w:eastAsia="Calibri"/>
              </w:rPr>
              <w:t>10</w:t>
            </w:r>
          </w:p>
        </w:tc>
        <w:tc>
          <w:tcPr>
            <w:tcW w:w="764" w:type="dxa"/>
            <w:tcBorders/>
            <w:shd w:fill="auto" w:val="clear"/>
            <w:vAlign w:val="center"/>
          </w:tcPr>
          <w:p>
            <w:pPr>
              <w:pStyle w:val="Normal"/>
              <w:spacing w:lineRule="auto" w:line="240" w:before="0" w:after="0"/>
              <w:rPr>
                <w:rFonts w:eastAsia="Calibri"/>
              </w:rPr>
            </w:pPr>
            <w:r>
              <w:rPr>
                <w:rFonts w:eastAsia="Calibri"/>
              </w:rPr>
              <w:t>12</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Площадь земли в сельскохозяйственном обороте, тыс. га</w:t>
            </w:r>
          </w:p>
        </w:tc>
        <w:tc>
          <w:tcPr>
            <w:tcW w:w="1390" w:type="dxa"/>
            <w:tcBorders/>
            <w:shd w:fill="auto" w:val="clear"/>
            <w:vAlign w:val="center"/>
          </w:tcPr>
          <w:p>
            <w:pPr>
              <w:pStyle w:val="Normal"/>
              <w:spacing w:lineRule="auto" w:line="240" w:before="0" w:after="0"/>
              <w:rPr>
                <w:rFonts w:eastAsia="Calibri"/>
              </w:rPr>
            </w:pPr>
            <w:r>
              <w:rPr>
                <w:rFonts w:eastAsia="Calibri"/>
              </w:rPr>
              <w:t>105</w:t>
            </w:r>
          </w:p>
        </w:tc>
        <w:tc>
          <w:tcPr>
            <w:tcW w:w="832" w:type="dxa"/>
            <w:tcBorders/>
            <w:shd w:fill="auto" w:val="clear"/>
            <w:vAlign w:val="center"/>
          </w:tcPr>
          <w:p>
            <w:pPr>
              <w:pStyle w:val="Normal"/>
              <w:spacing w:lineRule="auto" w:line="240" w:before="0" w:after="0"/>
              <w:rPr>
                <w:rFonts w:eastAsia="Calibri"/>
              </w:rPr>
            </w:pPr>
            <w:r>
              <w:rPr>
                <w:rFonts w:eastAsia="Calibri"/>
              </w:rPr>
              <w:t>105</w:t>
            </w:r>
          </w:p>
        </w:tc>
        <w:tc>
          <w:tcPr>
            <w:tcW w:w="833" w:type="dxa"/>
            <w:tcBorders/>
            <w:shd w:fill="auto" w:val="clear"/>
            <w:vAlign w:val="center"/>
          </w:tcPr>
          <w:p>
            <w:pPr>
              <w:pStyle w:val="Normal"/>
              <w:spacing w:lineRule="auto" w:line="240" w:before="0" w:after="0"/>
              <w:rPr>
                <w:rFonts w:eastAsia="Calibri"/>
              </w:rPr>
            </w:pPr>
            <w:r>
              <w:rPr>
                <w:rFonts w:eastAsia="Calibri"/>
              </w:rPr>
              <w:t>105</w:t>
            </w:r>
          </w:p>
        </w:tc>
        <w:tc>
          <w:tcPr>
            <w:tcW w:w="764" w:type="dxa"/>
            <w:tcBorders/>
            <w:shd w:fill="auto" w:val="clear"/>
            <w:vAlign w:val="center"/>
          </w:tcPr>
          <w:p>
            <w:pPr>
              <w:pStyle w:val="Normal"/>
              <w:spacing w:lineRule="auto" w:line="240" w:before="0" w:after="0"/>
              <w:rPr>
                <w:rFonts w:eastAsia="Calibri"/>
              </w:rPr>
            </w:pPr>
            <w:r>
              <w:rPr>
                <w:rFonts w:eastAsia="Calibri"/>
              </w:rPr>
              <w:t>105</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пашни в общей площади сельскохозяйственных угодий, %</w:t>
            </w:r>
          </w:p>
        </w:tc>
        <w:tc>
          <w:tcPr>
            <w:tcW w:w="1390" w:type="dxa"/>
            <w:tcBorders/>
            <w:shd w:fill="auto" w:val="clear"/>
            <w:vAlign w:val="center"/>
          </w:tcPr>
          <w:p>
            <w:pPr>
              <w:pStyle w:val="Normal"/>
              <w:spacing w:lineRule="auto" w:line="240" w:before="0" w:after="0"/>
              <w:rPr>
                <w:rFonts w:eastAsia="Calibri"/>
              </w:rPr>
            </w:pPr>
            <w:r>
              <w:rPr>
                <w:rFonts w:eastAsia="Calibri"/>
              </w:rPr>
              <w:t>80</w:t>
            </w:r>
          </w:p>
        </w:tc>
        <w:tc>
          <w:tcPr>
            <w:tcW w:w="832" w:type="dxa"/>
            <w:tcBorders/>
            <w:shd w:fill="auto" w:val="clear"/>
            <w:vAlign w:val="center"/>
          </w:tcPr>
          <w:p>
            <w:pPr>
              <w:pStyle w:val="Normal"/>
              <w:spacing w:lineRule="auto" w:line="240" w:before="0" w:after="0"/>
              <w:rPr>
                <w:rFonts w:eastAsia="Calibri"/>
              </w:rPr>
            </w:pPr>
            <w:r>
              <w:rPr>
                <w:rFonts w:eastAsia="Calibri"/>
              </w:rPr>
              <w:t>80</w:t>
            </w:r>
          </w:p>
        </w:tc>
        <w:tc>
          <w:tcPr>
            <w:tcW w:w="833" w:type="dxa"/>
            <w:tcBorders/>
            <w:shd w:fill="auto" w:val="clear"/>
            <w:vAlign w:val="center"/>
          </w:tcPr>
          <w:p>
            <w:pPr>
              <w:pStyle w:val="Normal"/>
              <w:spacing w:lineRule="auto" w:line="240" w:before="0" w:after="0"/>
              <w:rPr>
                <w:rFonts w:eastAsia="Calibri"/>
              </w:rPr>
            </w:pPr>
            <w:r>
              <w:rPr>
                <w:rFonts w:eastAsia="Calibri"/>
              </w:rPr>
              <w:t>80</w:t>
            </w:r>
          </w:p>
        </w:tc>
        <w:tc>
          <w:tcPr>
            <w:tcW w:w="764" w:type="dxa"/>
            <w:tcBorders/>
            <w:shd w:fill="auto" w:val="clear"/>
            <w:vAlign w:val="center"/>
          </w:tcPr>
          <w:p>
            <w:pPr>
              <w:pStyle w:val="Normal"/>
              <w:spacing w:lineRule="auto" w:line="240" w:before="0" w:after="0"/>
              <w:rPr>
                <w:rFonts w:eastAsia="Calibri"/>
              </w:rPr>
            </w:pPr>
            <w:r>
              <w:rPr>
                <w:rFonts w:eastAsia="Calibri"/>
              </w:rPr>
              <w:t>80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посевов в общей площади пашни, %</w:t>
            </w:r>
          </w:p>
        </w:tc>
        <w:tc>
          <w:tcPr>
            <w:tcW w:w="1390" w:type="dxa"/>
            <w:tcBorders/>
            <w:shd w:fill="auto" w:val="clear"/>
            <w:vAlign w:val="center"/>
          </w:tcPr>
          <w:p>
            <w:pPr>
              <w:pStyle w:val="Normal"/>
              <w:spacing w:lineRule="auto" w:line="240" w:before="0" w:after="0"/>
              <w:rPr>
                <w:rFonts w:eastAsia="Calibri"/>
              </w:rPr>
            </w:pPr>
            <w:r>
              <w:rPr>
                <w:rFonts w:eastAsia="Calibri"/>
              </w:rPr>
              <w:t>31,4</w:t>
            </w:r>
          </w:p>
        </w:tc>
        <w:tc>
          <w:tcPr>
            <w:tcW w:w="832" w:type="dxa"/>
            <w:tcBorders/>
            <w:shd w:fill="auto" w:val="clear"/>
            <w:vAlign w:val="center"/>
          </w:tcPr>
          <w:p>
            <w:pPr>
              <w:pStyle w:val="Normal"/>
              <w:spacing w:lineRule="auto" w:line="240" w:before="0" w:after="0"/>
              <w:rPr>
                <w:rFonts w:eastAsia="Calibri"/>
              </w:rPr>
            </w:pPr>
            <w:r>
              <w:rPr>
                <w:rFonts w:eastAsia="Calibri"/>
              </w:rPr>
              <w:t>33</w:t>
            </w:r>
          </w:p>
        </w:tc>
        <w:tc>
          <w:tcPr>
            <w:tcW w:w="833" w:type="dxa"/>
            <w:tcBorders/>
            <w:shd w:fill="auto" w:val="clear"/>
            <w:vAlign w:val="center"/>
          </w:tcPr>
          <w:p>
            <w:pPr>
              <w:pStyle w:val="Normal"/>
              <w:spacing w:lineRule="auto" w:line="240" w:before="0" w:after="0"/>
              <w:rPr>
                <w:rFonts w:eastAsia="Calibri"/>
              </w:rPr>
            </w:pPr>
            <w:r>
              <w:rPr>
                <w:rFonts w:eastAsia="Calibri"/>
              </w:rPr>
              <w:t>35</w:t>
            </w:r>
          </w:p>
        </w:tc>
        <w:tc>
          <w:tcPr>
            <w:tcW w:w="764" w:type="dxa"/>
            <w:tcBorders/>
            <w:shd w:fill="auto" w:val="clear"/>
            <w:vAlign w:val="center"/>
          </w:tcPr>
          <w:p>
            <w:pPr>
              <w:pStyle w:val="Normal"/>
              <w:spacing w:lineRule="auto" w:line="240" w:before="0" w:after="0"/>
              <w:rPr>
                <w:rFonts w:eastAsia="Calibri"/>
              </w:rPr>
            </w:pPr>
            <w:r>
              <w:rPr>
                <w:rFonts w:eastAsia="Calibri"/>
              </w:rPr>
              <w:t>48</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lang w:eastAsia="ru-RU"/>
              </w:rPr>
              <w:t>Отношение средней заработной платы в сельском хозяйстве к среднему значению по экономике области, %</w:t>
            </w:r>
          </w:p>
        </w:tc>
        <w:tc>
          <w:tcPr>
            <w:tcW w:w="1390" w:type="dxa"/>
            <w:tcBorders/>
            <w:shd w:fill="auto" w:val="clear"/>
            <w:vAlign w:val="center"/>
          </w:tcPr>
          <w:p>
            <w:pPr>
              <w:pStyle w:val="Normal"/>
              <w:spacing w:lineRule="auto" w:line="240" w:before="0" w:after="0"/>
              <w:rPr>
                <w:rFonts w:eastAsia="Calibri"/>
              </w:rPr>
            </w:pPr>
            <w:r>
              <w:rPr>
                <w:rFonts w:eastAsia="Calibri"/>
              </w:rPr>
              <w:t>64,7</w:t>
            </w:r>
          </w:p>
        </w:tc>
        <w:tc>
          <w:tcPr>
            <w:tcW w:w="832" w:type="dxa"/>
            <w:tcBorders/>
            <w:shd w:fill="auto" w:val="clear"/>
            <w:vAlign w:val="center"/>
          </w:tcPr>
          <w:p>
            <w:pPr>
              <w:pStyle w:val="Normal"/>
              <w:spacing w:lineRule="auto" w:line="240" w:before="0" w:after="0"/>
              <w:rPr>
                <w:rFonts w:eastAsia="Calibri"/>
              </w:rPr>
            </w:pPr>
            <w:r>
              <w:rPr>
                <w:rFonts w:eastAsia="Calibri"/>
              </w:rPr>
              <w:t>70</w:t>
            </w:r>
          </w:p>
        </w:tc>
        <w:tc>
          <w:tcPr>
            <w:tcW w:w="833" w:type="dxa"/>
            <w:tcBorders/>
            <w:shd w:fill="auto" w:val="clear"/>
            <w:vAlign w:val="center"/>
          </w:tcPr>
          <w:p>
            <w:pPr>
              <w:pStyle w:val="Normal"/>
              <w:spacing w:lineRule="auto" w:line="240" w:before="0" w:after="0"/>
              <w:rPr>
                <w:rFonts w:eastAsia="Calibri"/>
              </w:rPr>
            </w:pPr>
            <w:r>
              <w:rPr>
                <w:rFonts w:eastAsia="Calibri"/>
              </w:rPr>
              <w:t>75</w:t>
            </w:r>
          </w:p>
        </w:tc>
        <w:tc>
          <w:tcPr>
            <w:tcW w:w="764" w:type="dxa"/>
            <w:tcBorders/>
            <w:shd w:fill="auto" w:val="clear"/>
            <w:vAlign w:val="center"/>
          </w:tcPr>
          <w:p>
            <w:pPr>
              <w:pStyle w:val="Normal"/>
              <w:spacing w:lineRule="auto" w:line="240" w:before="0" w:after="0"/>
              <w:rPr>
                <w:rFonts w:eastAsia="Calibri"/>
              </w:rPr>
            </w:pPr>
            <w:r>
              <w:rPr>
                <w:rFonts w:eastAsia="Calibri"/>
              </w:rPr>
              <w:t>80</w:t>
            </w:r>
          </w:p>
        </w:tc>
      </w:tr>
      <w:tr>
        <w:trPr/>
        <w:tc>
          <w:tcPr>
            <w:tcW w:w="9637" w:type="dxa"/>
            <w:gridSpan w:val="6"/>
            <w:tcBorders/>
            <w:shd w:fill="auto" w:val="clear"/>
          </w:tcPr>
          <w:p>
            <w:pPr>
              <w:pStyle w:val="Normal"/>
              <w:spacing w:lineRule="auto" w:line="240" w:before="0" w:after="0"/>
              <w:jc w:val="center"/>
              <w:rPr>
                <w:b/>
                <w:b/>
              </w:rPr>
            </w:pPr>
            <w:bookmarkStart w:id="80" w:name="_Toc4084467"/>
            <w:r>
              <w:rPr>
                <w:b/>
              </w:rPr>
              <w:t>2.4. Повышение инвестиционной привлекательности</w:t>
            </w:r>
            <w:bookmarkEnd w:id="80"/>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Объём инвестиций в основной капитал (за исключением бюджетных средств) в расчёте на 1 жителя района, тыс. руб.</w:t>
            </w:r>
          </w:p>
        </w:tc>
        <w:tc>
          <w:tcPr>
            <w:tcW w:w="1390" w:type="dxa"/>
            <w:tcBorders/>
            <w:shd w:fill="auto" w:val="clear"/>
            <w:vAlign w:val="center"/>
          </w:tcPr>
          <w:p>
            <w:pPr>
              <w:pStyle w:val="Normal"/>
              <w:spacing w:lineRule="auto" w:line="240" w:before="0" w:after="0"/>
              <w:rPr/>
            </w:pPr>
            <w:r>
              <w:rPr/>
              <w:t>7,8</w:t>
            </w:r>
          </w:p>
        </w:tc>
        <w:tc>
          <w:tcPr>
            <w:tcW w:w="832" w:type="dxa"/>
            <w:tcBorders/>
            <w:shd w:fill="auto" w:val="clear"/>
            <w:vAlign w:val="center"/>
          </w:tcPr>
          <w:p>
            <w:pPr>
              <w:pStyle w:val="Normal"/>
              <w:spacing w:lineRule="auto" w:line="240" w:before="0" w:after="0"/>
              <w:rPr/>
            </w:pPr>
            <w:r>
              <w:rPr/>
              <w:t>10,8</w:t>
            </w:r>
          </w:p>
        </w:tc>
        <w:tc>
          <w:tcPr>
            <w:tcW w:w="833" w:type="dxa"/>
            <w:tcBorders/>
            <w:shd w:fill="auto" w:val="clear"/>
            <w:vAlign w:val="center"/>
          </w:tcPr>
          <w:p>
            <w:pPr>
              <w:pStyle w:val="Normal"/>
              <w:spacing w:lineRule="auto" w:line="240" w:before="0" w:after="0"/>
              <w:rPr/>
            </w:pPr>
            <w:r>
              <w:rPr/>
              <w:t>14,9</w:t>
            </w:r>
          </w:p>
        </w:tc>
        <w:tc>
          <w:tcPr>
            <w:tcW w:w="764" w:type="dxa"/>
            <w:tcBorders/>
            <w:shd w:fill="auto" w:val="clear"/>
            <w:vAlign w:val="center"/>
          </w:tcPr>
          <w:p>
            <w:pPr>
              <w:pStyle w:val="Normal"/>
              <w:spacing w:lineRule="auto" w:line="240" w:before="0" w:after="0"/>
              <w:rPr/>
            </w:pPr>
            <w:r>
              <w:rPr/>
              <w:t>17,6</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Объем инвестиций в основной капитал, млн. рублей (без субъектов малого предпринимательства), млн. руб.</w:t>
            </w:r>
          </w:p>
        </w:tc>
        <w:tc>
          <w:tcPr>
            <w:tcW w:w="1390" w:type="dxa"/>
            <w:tcBorders/>
            <w:shd w:fill="auto" w:val="clear"/>
            <w:vAlign w:val="center"/>
          </w:tcPr>
          <w:p>
            <w:pPr>
              <w:pStyle w:val="Normal"/>
              <w:spacing w:lineRule="auto" w:line="240" w:before="0" w:after="0"/>
              <w:rPr/>
            </w:pPr>
            <w:r>
              <w:rPr/>
              <w:t>153,9</w:t>
            </w:r>
          </w:p>
        </w:tc>
        <w:tc>
          <w:tcPr>
            <w:tcW w:w="832" w:type="dxa"/>
            <w:tcBorders/>
            <w:shd w:fill="auto" w:val="clear"/>
            <w:vAlign w:val="center"/>
          </w:tcPr>
          <w:p>
            <w:pPr>
              <w:pStyle w:val="Normal"/>
              <w:spacing w:lineRule="auto" w:line="240" w:before="0" w:after="0"/>
              <w:rPr/>
            </w:pPr>
            <w:r>
              <w:rPr/>
              <w:t>223,4</w:t>
            </w:r>
          </w:p>
        </w:tc>
        <w:tc>
          <w:tcPr>
            <w:tcW w:w="833" w:type="dxa"/>
            <w:tcBorders/>
            <w:shd w:fill="auto" w:val="clear"/>
            <w:vAlign w:val="center"/>
          </w:tcPr>
          <w:p>
            <w:pPr>
              <w:pStyle w:val="Normal"/>
              <w:spacing w:lineRule="auto" w:line="240" w:before="0" w:after="0"/>
              <w:rPr/>
            </w:pPr>
            <w:r>
              <w:rPr/>
              <w:t>303,6</w:t>
            </w:r>
          </w:p>
        </w:tc>
        <w:tc>
          <w:tcPr>
            <w:tcW w:w="764" w:type="dxa"/>
            <w:tcBorders/>
            <w:shd w:fill="auto" w:val="clear"/>
            <w:vAlign w:val="center"/>
          </w:tcPr>
          <w:p>
            <w:pPr>
              <w:pStyle w:val="Normal"/>
              <w:spacing w:lineRule="auto" w:line="240" w:before="0" w:after="0"/>
              <w:rPr/>
            </w:pPr>
            <w:r>
              <w:rPr/>
              <w:t xml:space="preserve">304,9 </w:t>
            </w:r>
          </w:p>
        </w:tc>
      </w:tr>
      <w:tr>
        <w:trPr/>
        <w:tc>
          <w:tcPr>
            <w:tcW w:w="9637" w:type="dxa"/>
            <w:gridSpan w:val="6"/>
            <w:tcBorders/>
            <w:shd w:fill="auto" w:val="clear"/>
          </w:tcPr>
          <w:p>
            <w:pPr>
              <w:pStyle w:val="Normal"/>
              <w:spacing w:lineRule="auto" w:line="240" w:before="0" w:after="0"/>
              <w:jc w:val="center"/>
              <w:rPr>
                <w:b/>
                <w:b/>
              </w:rPr>
            </w:pPr>
            <w:bookmarkStart w:id="81" w:name="_Toc4084468"/>
            <w:r>
              <w:rPr>
                <w:b/>
              </w:rPr>
              <w:t>2.5. Улучшение предпринимательской среды</w:t>
            </w:r>
            <w:bookmarkEnd w:id="81"/>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highlight w:val="yellow"/>
              </w:rPr>
            </w:pPr>
            <w:r>
              <w:rPr/>
              <w:t>Число субъектов малого и среднего предпринимательства, зарегистрированных на территории района, в расчёте на 1000 населения, ед.</w:t>
            </w:r>
          </w:p>
        </w:tc>
        <w:tc>
          <w:tcPr>
            <w:tcW w:w="1390" w:type="dxa"/>
            <w:tcBorders/>
            <w:shd w:fill="auto" w:val="clear"/>
            <w:vAlign w:val="center"/>
          </w:tcPr>
          <w:p>
            <w:pPr>
              <w:pStyle w:val="Normal"/>
              <w:spacing w:lineRule="auto" w:line="240" w:before="0" w:after="0"/>
              <w:rPr>
                <w:highlight w:val="yellow"/>
              </w:rPr>
            </w:pPr>
            <w:r>
              <w:rPr/>
              <w:t>21</w:t>
            </w:r>
          </w:p>
        </w:tc>
        <w:tc>
          <w:tcPr>
            <w:tcW w:w="832" w:type="dxa"/>
            <w:tcBorders/>
            <w:shd w:fill="auto" w:val="clear"/>
            <w:vAlign w:val="center"/>
          </w:tcPr>
          <w:p>
            <w:pPr>
              <w:pStyle w:val="Normal"/>
              <w:spacing w:lineRule="auto" w:line="240" w:before="0" w:after="0"/>
              <w:rPr>
                <w:highlight w:val="yellow"/>
              </w:rPr>
            </w:pPr>
            <w:r>
              <w:rPr/>
              <w:t>21,4</w:t>
            </w:r>
          </w:p>
        </w:tc>
        <w:tc>
          <w:tcPr>
            <w:tcW w:w="833" w:type="dxa"/>
            <w:tcBorders/>
            <w:shd w:fill="auto" w:val="clear"/>
            <w:vAlign w:val="center"/>
          </w:tcPr>
          <w:p>
            <w:pPr>
              <w:pStyle w:val="Normal"/>
              <w:spacing w:lineRule="auto" w:line="240" w:before="0" w:after="0"/>
              <w:rPr>
                <w:highlight w:val="yellow"/>
              </w:rPr>
            </w:pPr>
            <w:r>
              <w:rPr/>
              <w:t>22,3</w:t>
            </w:r>
          </w:p>
        </w:tc>
        <w:tc>
          <w:tcPr>
            <w:tcW w:w="764" w:type="dxa"/>
            <w:tcBorders/>
            <w:shd w:fill="auto" w:val="clear"/>
            <w:vAlign w:val="center"/>
          </w:tcPr>
          <w:p>
            <w:pPr>
              <w:pStyle w:val="Normal"/>
              <w:spacing w:lineRule="auto" w:line="240" w:before="0" w:after="0"/>
              <w:rPr>
                <w:highlight w:val="yellow"/>
              </w:rPr>
            </w:pPr>
            <w:r>
              <w:rPr/>
              <w:t>23,7</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highlight w:val="yellow"/>
              </w:rPr>
            </w:pPr>
            <w:r>
              <w:rPr/>
              <w:t>Доля занятых в малом и среднем предпринимательстве, включая индивидуальных предпринимателей, в общей численности занятых в экономике муниципальных районов, %</w:t>
            </w:r>
          </w:p>
        </w:tc>
        <w:tc>
          <w:tcPr>
            <w:tcW w:w="1390" w:type="dxa"/>
            <w:tcBorders/>
            <w:shd w:fill="auto" w:val="clear"/>
            <w:vAlign w:val="center"/>
          </w:tcPr>
          <w:p>
            <w:pPr>
              <w:pStyle w:val="Normal"/>
              <w:spacing w:lineRule="auto" w:line="240" w:before="0" w:after="0"/>
              <w:rPr/>
            </w:pPr>
            <w:r>
              <w:rPr/>
              <w:t>33,4</w:t>
            </w:r>
          </w:p>
        </w:tc>
        <w:tc>
          <w:tcPr>
            <w:tcW w:w="832" w:type="dxa"/>
            <w:tcBorders/>
            <w:shd w:fill="auto" w:val="clear"/>
            <w:vAlign w:val="center"/>
          </w:tcPr>
          <w:p>
            <w:pPr>
              <w:pStyle w:val="Normal"/>
              <w:spacing w:lineRule="auto" w:line="240" w:before="0" w:after="0"/>
              <w:rPr/>
            </w:pPr>
            <w:r>
              <w:rPr/>
              <w:t>34,4</w:t>
            </w:r>
          </w:p>
        </w:tc>
        <w:tc>
          <w:tcPr>
            <w:tcW w:w="833" w:type="dxa"/>
            <w:tcBorders/>
            <w:shd w:fill="auto" w:val="clear"/>
            <w:vAlign w:val="center"/>
          </w:tcPr>
          <w:p>
            <w:pPr>
              <w:pStyle w:val="Normal"/>
              <w:spacing w:lineRule="auto" w:line="240" w:before="0" w:after="0"/>
              <w:rPr/>
            </w:pPr>
            <w:r>
              <w:rPr/>
              <w:t>36,1</w:t>
            </w:r>
          </w:p>
        </w:tc>
        <w:tc>
          <w:tcPr>
            <w:tcW w:w="764" w:type="dxa"/>
            <w:tcBorders/>
            <w:shd w:fill="auto" w:val="clear"/>
            <w:vAlign w:val="center"/>
          </w:tcPr>
          <w:p>
            <w:pPr>
              <w:pStyle w:val="Normal"/>
              <w:spacing w:lineRule="auto" w:line="240" w:before="0" w:after="0"/>
              <w:rPr/>
            </w:pPr>
            <w:r>
              <w:rPr/>
              <w:t>38,0</w:t>
            </w:r>
          </w:p>
        </w:tc>
      </w:tr>
      <w:tr>
        <w:trPr/>
        <w:tc>
          <w:tcPr>
            <w:tcW w:w="9637" w:type="dxa"/>
            <w:gridSpan w:val="6"/>
            <w:tcBorders/>
            <w:shd w:fill="auto" w:val="clear"/>
          </w:tcPr>
          <w:p>
            <w:pPr>
              <w:pStyle w:val="Normal"/>
              <w:spacing w:lineRule="auto" w:line="240" w:before="0" w:after="0"/>
              <w:jc w:val="center"/>
              <w:rPr>
                <w:b/>
                <w:b/>
              </w:rPr>
            </w:pPr>
            <w:bookmarkStart w:id="82" w:name="_Toc4084469"/>
            <w:r>
              <w:rPr>
                <w:rFonts w:eastAsia="Calibri"/>
                <w:b/>
              </w:rPr>
              <w:t>2.6. Повышение доходов населения</w:t>
            </w:r>
            <w:bookmarkEnd w:id="82"/>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Среднемесячная номинальная заработная плата, тыс. рублей</w:t>
            </w:r>
          </w:p>
        </w:tc>
        <w:tc>
          <w:tcPr>
            <w:tcW w:w="1390" w:type="dxa"/>
            <w:tcBorders/>
            <w:shd w:fill="auto" w:val="clear"/>
            <w:vAlign w:val="center"/>
          </w:tcPr>
          <w:p>
            <w:pPr>
              <w:pStyle w:val="Normal"/>
              <w:spacing w:lineRule="auto" w:line="240" w:before="0" w:after="0"/>
              <w:rPr>
                <w:rFonts w:eastAsia="Calibri"/>
              </w:rPr>
            </w:pPr>
            <w:r>
              <w:rPr>
                <w:rFonts w:eastAsia="Calibri"/>
              </w:rPr>
              <w:t>20088,2</w:t>
            </w:r>
          </w:p>
        </w:tc>
        <w:tc>
          <w:tcPr>
            <w:tcW w:w="832" w:type="dxa"/>
            <w:tcBorders/>
            <w:shd w:fill="auto" w:val="clear"/>
            <w:vAlign w:val="center"/>
          </w:tcPr>
          <w:p>
            <w:pPr>
              <w:pStyle w:val="Normal"/>
              <w:spacing w:lineRule="auto" w:line="240" w:before="0" w:after="0"/>
              <w:rPr>
                <w:rFonts w:eastAsia="Calibri"/>
              </w:rPr>
            </w:pPr>
            <w:r>
              <w:rPr>
                <w:rFonts w:eastAsia="Calibri"/>
              </w:rPr>
              <w:t>24608,9</w:t>
            </w:r>
          </w:p>
        </w:tc>
        <w:tc>
          <w:tcPr>
            <w:tcW w:w="833" w:type="dxa"/>
            <w:tcBorders/>
            <w:shd w:fill="auto" w:val="clear"/>
            <w:vAlign w:val="center"/>
          </w:tcPr>
          <w:p>
            <w:pPr>
              <w:pStyle w:val="Normal"/>
              <w:spacing w:lineRule="auto" w:line="240" w:before="0" w:after="0"/>
              <w:rPr>
                <w:rFonts w:eastAsia="Calibri"/>
              </w:rPr>
            </w:pPr>
            <w:r>
              <w:rPr>
                <w:rFonts w:eastAsia="Calibri"/>
              </w:rPr>
              <w:t>32257,3</w:t>
            </w:r>
          </w:p>
        </w:tc>
        <w:tc>
          <w:tcPr>
            <w:tcW w:w="764" w:type="dxa"/>
            <w:tcBorders/>
            <w:shd w:fill="auto" w:val="clear"/>
            <w:vAlign w:val="center"/>
          </w:tcPr>
          <w:p>
            <w:pPr>
              <w:pStyle w:val="Normal"/>
              <w:spacing w:lineRule="auto" w:line="240" w:before="0" w:after="0"/>
              <w:rPr>
                <w:rFonts w:eastAsia="Calibri"/>
              </w:rPr>
            </w:pPr>
            <w:r>
              <w:rPr>
                <w:rFonts w:eastAsia="Calibri"/>
              </w:rPr>
              <w:t>48409,4</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Численность населения, получающего меры социальной поддержки с доходами ниже величины прожиточного минимума</w:t>
            </w:r>
          </w:p>
        </w:tc>
        <w:tc>
          <w:tcPr>
            <w:tcW w:w="1390" w:type="dxa"/>
            <w:tcBorders/>
            <w:shd w:fill="auto" w:val="clear"/>
            <w:vAlign w:val="center"/>
          </w:tcPr>
          <w:p>
            <w:pPr>
              <w:pStyle w:val="Normal"/>
              <w:spacing w:lineRule="auto" w:line="240" w:before="0" w:after="0"/>
              <w:rPr>
                <w:rFonts w:eastAsia="Calibri"/>
              </w:rPr>
            </w:pPr>
            <w:r>
              <w:rPr>
                <w:rFonts w:eastAsia="Calibri"/>
              </w:rPr>
              <w:t>895</w:t>
            </w:r>
          </w:p>
        </w:tc>
        <w:tc>
          <w:tcPr>
            <w:tcW w:w="832" w:type="dxa"/>
            <w:tcBorders/>
            <w:shd w:fill="auto" w:val="clear"/>
            <w:vAlign w:val="center"/>
          </w:tcPr>
          <w:p>
            <w:pPr>
              <w:pStyle w:val="Normal"/>
              <w:spacing w:lineRule="auto" w:line="240" w:before="0" w:after="0"/>
              <w:rPr>
                <w:rFonts w:eastAsia="Calibri"/>
              </w:rPr>
            </w:pPr>
            <w:r>
              <w:rPr>
                <w:rFonts w:eastAsia="Calibri"/>
              </w:rPr>
              <w:t>672</w:t>
            </w:r>
          </w:p>
        </w:tc>
        <w:tc>
          <w:tcPr>
            <w:tcW w:w="833" w:type="dxa"/>
            <w:tcBorders/>
            <w:shd w:fill="auto" w:val="clear"/>
            <w:vAlign w:val="center"/>
          </w:tcPr>
          <w:p>
            <w:pPr>
              <w:pStyle w:val="Normal"/>
              <w:spacing w:lineRule="auto" w:line="240" w:before="0" w:after="0"/>
              <w:rPr>
                <w:rFonts w:eastAsia="Calibri"/>
              </w:rPr>
            </w:pPr>
            <w:r>
              <w:rPr>
                <w:rFonts w:eastAsia="Calibri"/>
              </w:rPr>
              <w:t>660</w:t>
            </w:r>
          </w:p>
        </w:tc>
        <w:tc>
          <w:tcPr>
            <w:tcW w:w="764" w:type="dxa"/>
            <w:tcBorders/>
            <w:shd w:fill="auto" w:val="clear"/>
            <w:vAlign w:val="center"/>
          </w:tcPr>
          <w:p>
            <w:pPr>
              <w:pStyle w:val="Normal"/>
              <w:spacing w:lineRule="auto" w:line="240" w:before="0" w:after="0"/>
              <w:rPr>
                <w:rFonts w:eastAsia="Calibri"/>
              </w:rPr>
            </w:pPr>
            <w:r>
              <w:rPr>
                <w:rFonts w:eastAsia="Calibri"/>
              </w:rPr>
              <w:t>632</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Уровень регистрируемой безработицы, %</w:t>
            </w:r>
          </w:p>
        </w:tc>
        <w:tc>
          <w:tcPr>
            <w:tcW w:w="1390" w:type="dxa"/>
            <w:tcBorders/>
            <w:shd w:fill="auto" w:val="clear"/>
            <w:vAlign w:val="center"/>
          </w:tcPr>
          <w:p>
            <w:pPr>
              <w:pStyle w:val="Normal"/>
              <w:spacing w:lineRule="auto" w:line="240" w:before="0" w:after="0"/>
              <w:rPr>
                <w:rFonts w:eastAsia="Calibri"/>
              </w:rPr>
            </w:pPr>
            <w:r>
              <w:rPr>
                <w:rFonts w:eastAsia="Calibri"/>
              </w:rPr>
              <w:t>0,41</w:t>
            </w:r>
          </w:p>
        </w:tc>
        <w:tc>
          <w:tcPr>
            <w:tcW w:w="832" w:type="dxa"/>
            <w:tcBorders/>
            <w:shd w:fill="auto" w:val="clear"/>
            <w:vAlign w:val="center"/>
          </w:tcPr>
          <w:p>
            <w:pPr>
              <w:pStyle w:val="Normal"/>
              <w:spacing w:lineRule="auto" w:line="240" w:before="0" w:after="0"/>
              <w:rPr>
                <w:rFonts w:eastAsia="Calibri"/>
              </w:rPr>
            </w:pPr>
            <w:r>
              <w:rPr>
                <w:rFonts w:eastAsia="Calibri"/>
              </w:rPr>
              <w:t>0,34</w:t>
            </w:r>
          </w:p>
        </w:tc>
        <w:tc>
          <w:tcPr>
            <w:tcW w:w="833" w:type="dxa"/>
            <w:tcBorders/>
            <w:shd w:fill="auto" w:val="clear"/>
            <w:vAlign w:val="center"/>
          </w:tcPr>
          <w:p>
            <w:pPr>
              <w:pStyle w:val="Normal"/>
              <w:spacing w:lineRule="auto" w:line="240" w:before="0" w:after="0"/>
              <w:rPr>
                <w:rFonts w:eastAsia="Calibri"/>
              </w:rPr>
            </w:pPr>
            <w:r>
              <w:rPr>
                <w:rFonts w:eastAsia="Calibri"/>
              </w:rPr>
              <w:t>0,34</w:t>
            </w:r>
          </w:p>
        </w:tc>
        <w:tc>
          <w:tcPr>
            <w:tcW w:w="764" w:type="dxa"/>
            <w:tcBorders/>
            <w:shd w:fill="auto" w:val="clear"/>
            <w:vAlign w:val="center"/>
          </w:tcPr>
          <w:p>
            <w:pPr>
              <w:pStyle w:val="Normal"/>
              <w:spacing w:lineRule="auto" w:line="240" w:before="0" w:after="0"/>
              <w:rPr>
                <w:rFonts w:eastAsia="Calibri"/>
              </w:rPr>
            </w:pPr>
            <w:r>
              <w:rPr>
                <w:rFonts w:eastAsia="Calibri"/>
              </w:rPr>
              <w:t>0,34</w:t>
            </w:r>
          </w:p>
        </w:tc>
      </w:tr>
      <w:tr>
        <w:trPr/>
        <w:tc>
          <w:tcPr>
            <w:tcW w:w="9637" w:type="dxa"/>
            <w:gridSpan w:val="6"/>
            <w:tcBorders/>
            <w:shd w:fill="auto" w:val="clear"/>
          </w:tcPr>
          <w:p>
            <w:pPr>
              <w:pStyle w:val="Normal"/>
              <w:spacing w:lineRule="auto" w:line="240" w:before="0" w:after="0"/>
              <w:jc w:val="center"/>
              <w:rPr>
                <w:b/>
                <w:b/>
              </w:rPr>
            </w:pPr>
            <w:bookmarkStart w:id="83" w:name="_Toc4084470"/>
            <w:r>
              <w:rPr>
                <w:b/>
              </w:rPr>
              <w:t xml:space="preserve">3. РАЗВИТИЕ ИНФРАСТРУКТУРЫ ЖИЗНЕОБЕСПЕЧЕНИЯ </w:t>
              <w:br/>
              <w:t>И СБАЛАНСИРОВАННОГО ПРОСТРАНСТВЕННОГО РАЗВИТИЯ</w:t>
            </w:r>
            <w:bookmarkEnd w:id="83"/>
          </w:p>
        </w:tc>
      </w:tr>
      <w:tr>
        <w:trPr/>
        <w:tc>
          <w:tcPr>
            <w:tcW w:w="9637" w:type="dxa"/>
            <w:gridSpan w:val="6"/>
            <w:tcBorders/>
            <w:shd w:fill="auto" w:val="clear"/>
          </w:tcPr>
          <w:p>
            <w:pPr>
              <w:pStyle w:val="Normal"/>
              <w:spacing w:lineRule="auto" w:line="240" w:before="0" w:after="0"/>
              <w:jc w:val="center"/>
              <w:rPr>
                <w:b/>
                <w:b/>
              </w:rPr>
            </w:pPr>
            <w:bookmarkStart w:id="84" w:name="_Toc4084471"/>
            <w:r>
              <w:rPr>
                <w:b/>
              </w:rPr>
              <w:t>3.1. Развитие инфраструктуры транспорта</w:t>
            </w:r>
            <w:bookmarkEnd w:id="84"/>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общем количестве автомобильных дорог общего пользования местного значения, %</w:t>
            </w:r>
          </w:p>
        </w:tc>
        <w:tc>
          <w:tcPr>
            <w:tcW w:w="1390" w:type="dxa"/>
            <w:tcBorders/>
            <w:shd w:fill="auto" w:val="clear"/>
            <w:vAlign w:val="center"/>
          </w:tcPr>
          <w:p>
            <w:pPr>
              <w:pStyle w:val="Normal"/>
              <w:spacing w:lineRule="auto" w:line="240" w:before="0" w:after="0"/>
              <w:rPr>
                <w:rFonts w:eastAsia="Calibri"/>
              </w:rPr>
            </w:pPr>
            <w:r>
              <w:rPr>
                <w:rFonts w:eastAsia="Calibri"/>
              </w:rPr>
              <w:t>58</w:t>
            </w:r>
          </w:p>
        </w:tc>
        <w:tc>
          <w:tcPr>
            <w:tcW w:w="832" w:type="dxa"/>
            <w:tcBorders/>
            <w:shd w:fill="auto" w:val="clear"/>
            <w:vAlign w:val="center"/>
          </w:tcPr>
          <w:p>
            <w:pPr>
              <w:pStyle w:val="Normal"/>
              <w:spacing w:lineRule="auto" w:line="240" w:before="0" w:after="0"/>
              <w:rPr>
                <w:rFonts w:eastAsia="Calibri"/>
              </w:rPr>
            </w:pPr>
            <w:r>
              <w:rPr>
                <w:rFonts w:eastAsia="Calibri"/>
              </w:rPr>
              <w:t>53</w:t>
            </w:r>
          </w:p>
        </w:tc>
        <w:tc>
          <w:tcPr>
            <w:tcW w:w="833" w:type="dxa"/>
            <w:tcBorders/>
            <w:shd w:fill="auto" w:val="clear"/>
            <w:vAlign w:val="center"/>
          </w:tcPr>
          <w:p>
            <w:pPr>
              <w:pStyle w:val="Normal"/>
              <w:spacing w:lineRule="auto" w:line="240" w:before="0" w:after="0"/>
              <w:rPr>
                <w:rFonts w:eastAsia="Calibri"/>
              </w:rPr>
            </w:pPr>
            <w:r>
              <w:rPr>
                <w:rFonts w:eastAsia="Calibri"/>
              </w:rPr>
              <w:t>50</w:t>
            </w:r>
          </w:p>
        </w:tc>
        <w:tc>
          <w:tcPr>
            <w:tcW w:w="764" w:type="dxa"/>
            <w:tcBorders/>
            <w:shd w:fill="auto" w:val="clear"/>
            <w:vAlign w:val="center"/>
          </w:tcPr>
          <w:p>
            <w:pPr>
              <w:pStyle w:val="Normal"/>
              <w:spacing w:lineRule="auto" w:line="240" w:before="0" w:after="0"/>
              <w:rPr>
                <w:rFonts w:eastAsia="Calibri"/>
              </w:rPr>
            </w:pPr>
            <w:r>
              <w:rPr>
                <w:rFonts w:eastAsia="Calibri"/>
              </w:rPr>
              <w:t>40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Уменьшение транспортного риска (количество ДТП), ед.</w:t>
            </w:r>
          </w:p>
        </w:tc>
        <w:tc>
          <w:tcPr>
            <w:tcW w:w="1390" w:type="dxa"/>
            <w:tcBorders/>
            <w:shd w:fill="auto" w:val="clear"/>
            <w:vAlign w:val="center"/>
          </w:tcPr>
          <w:p>
            <w:pPr>
              <w:pStyle w:val="Normal"/>
              <w:spacing w:lineRule="auto" w:line="240" w:before="0" w:after="0"/>
              <w:rPr>
                <w:rFonts w:eastAsia="Calibri"/>
              </w:rPr>
            </w:pPr>
            <w:r>
              <w:rPr>
                <w:rFonts w:eastAsia="Calibri"/>
              </w:rPr>
              <w:t>95</w:t>
            </w:r>
          </w:p>
        </w:tc>
        <w:tc>
          <w:tcPr>
            <w:tcW w:w="832" w:type="dxa"/>
            <w:tcBorders/>
            <w:shd w:fill="auto" w:val="clear"/>
            <w:vAlign w:val="center"/>
          </w:tcPr>
          <w:p>
            <w:pPr>
              <w:pStyle w:val="Normal"/>
              <w:spacing w:lineRule="auto" w:line="240" w:before="0" w:after="0"/>
              <w:rPr>
                <w:rFonts w:eastAsia="Calibri"/>
              </w:rPr>
            </w:pPr>
            <w:r>
              <w:rPr>
                <w:rFonts w:eastAsia="Calibri"/>
              </w:rPr>
              <w:t>90</w:t>
            </w:r>
          </w:p>
        </w:tc>
        <w:tc>
          <w:tcPr>
            <w:tcW w:w="833" w:type="dxa"/>
            <w:tcBorders/>
            <w:shd w:fill="auto" w:val="clear"/>
            <w:vAlign w:val="center"/>
          </w:tcPr>
          <w:p>
            <w:pPr>
              <w:pStyle w:val="Normal"/>
              <w:spacing w:lineRule="auto" w:line="240" w:before="0" w:after="0"/>
              <w:rPr>
                <w:rFonts w:eastAsia="Calibri"/>
              </w:rPr>
            </w:pPr>
            <w:r>
              <w:rPr>
                <w:rFonts w:eastAsia="Calibri"/>
              </w:rPr>
              <w:t>80</w:t>
            </w:r>
          </w:p>
        </w:tc>
        <w:tc>
          <w:tcPr>
            <w:tcW w:w="764" w:type="dxa"/>
            <w:tcBorders/>
            <w:shd w:fill="auto" w:val="clear"/>
            <w:vAlign w:val="center"/>
          </w:tcPr>
          <w:p>
            <w:pPr>
              <w:pStyle w:val="Normal"/>
              <w:spacing w:lineRule="auto" w:line="240" w:before="0" w:after="0"/>
              <w:rPr>
                <w:rFonts w:eastAsia="Calibri"/>
              </w:rPr>
            </w:pPr>
            <w:r>
              <w:rPr>
                <w:rFonts w:eastAsia="Calibri"/>
              </w:rPr>
              <w:t>65</w:t>
            </w:r>
          </w:p>
        </w:tc>
      </w:tr>
      <w:tr>
        <w:trPr/>
        <w:tc>
          <w:tcPr>
            <w:tcW w:w="9637" w:type="dxa"/>
            <w:gridSpan w:val="6"/>
            <w:tcBorders/>
            <w:shd w:fill="auto" w:val="clear"/>
          </w:tcPr>
          <w:p>
            <w:pPr>
              <w:pStyle w:val="Normal"/>
              <w:spacing w:lineRule="auto" w:line="240" w:before="0" w:after="0"/>
              <w:jc w:val="center"/>
              <w:rPr>
                <w:b/>
                <w:b/>
              </w:rPr>
            </w:pPr>
            <w:bookmarkStart w:id="85" w:name="_Toc4084472"/>
            <w:r>
              <w:rPr>
                <w:b/>
              </w:rPr>
              <w:t>2.3.2. Повышение качества и доступности услуг связи</w:t>
            </w:r>
            <w:bookmarkEnd w:id="85"/>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Доля населения в зоне охвата сотовой связи, в общей численности населения, %</w:t>
            </w:r>
          </w:p>
        </w:tc>
        <w:tc>
          <w:tcPr>
            <w:tcW w:w="1390" w:type="dxa"/>
            <w:tcBorders/>
            <w:shd w:fill="auto" w:val="clear"/>
            <w:vAlign w:val="center"/>
          </w:tcPr>
          <w:p>
            <w:pPr>
              <w:pStyle w:val="Normal"/>
              <w:spacing w:lineRule="auto" w:line="240" w:before="0" w:after="0"/>
              <w:rPr/>
            </w:pPr>
            <w:r>
              <w:rPr/>
              <w:t>88</w:t>
            </w:r>
          </w:p>
        </w:tc>
        <w:tc>
          <w:tcPr>
            <w:tcW w:w="832" w:type="dxa"/>
            <w:tcBorders/>
            <w:shd w:fill="auto" w:val="clear"/>
            <w:vAlign w:val="center"/>
          </w:tcPr>
          <w:p>
            <w:pPr>
              <w:pStyle w:val="Normal"/>
              <w:spacing w:lineRule="auto" w:line="240" w:before="0" w:after="0"/>
              <w:rPr/>
            </w:pPr>
            <w:r>
              <w:rPr/>
              <w:t>94</w:t>
            </w:r>
          </w:p>
        </w:tc>
        <w:tc>
          <w:tcPr>
            <w:tcW w:w="833" w:type="dxa"/>
            <w:tcBorders/>
            <w:shd w:fill="auto" w:val="clear"/>
            <w:vAlign w:val="center"/>
          </w:tcPr>
          <w:p>
            <w:pPr>
              <w:pStyle w:val="Normal"/>
              <w:spacing w:lineRule="auto" w:line="240" w:before="0" w:after="0"/>
              <w:rPr/>
            </w:pPr>
            <w:r>
              <w:rPr/>
              <w:t>96</w:t>
            </w:r>
          </w:p>
        </w:tc>
        <w:tc>
          <w:tcPr>
            <w:tcW w:w="764" w:type="dxa"/>
            <w:tcBorders/>
            <w:shd w:fill="auto" w:val="clear"/>
            <w:vAlign w:val="center"/>
          </w:tcPr>
          <w:p>
            <w:pPr>
              <w:pStyle w:val="Normal"/>
              <w:spacing w:lineRule="auto" w:line="240" w:before="0" w:after="0"/>
              <w:rPr/>
            </w:pPr>
            <w:r>
              <w:rPr/>
              <w:t>100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Доля населения, имеющего техническую возможность доступа к информационно-телекоммуникационной сети «Интернет», в общей численности населения, %</w:t>
            </w:r>
          </w:p>
        </w:tc>
        <w:tc>
          <w:tcPr>
            <w:tcW w:w="1390" w:type="dxa"/>
            <w:tcBorders/>
            <w:shd w:fill="auto" w:val="clear"/>
            <w:vAlign w:val="center"/>
          </w:tcPr>
          <w:p>
            <w:pPr>
              <w:pStyle w:val="Normal"/>
              <w:spacing w:lineRule="auto" w:line="240" w:before="0" w:after="0"/>
              <w:rPr/>
            </w:pPr>
            <w:r>
              <w:rPr/>
              <w:t>83,5</w:t>
            </w:r>
          </w:p>
        </w:tc>
        <w:tc>
          <w:tcPr>
            <w:tcW w:w="832" w:type="dxa"/>
            <w:tcBorders/>
            <w:shd w:fill="auto" w:val="clear"/>
            <w:vAlign w:val="center"/>
          </w:tcPr>
          <w:p>
            <w:pPr>
              <w:pStyle w:val="Normal"/>
              <w:spacing w:lineRule="auto" w:line="240" w:before="0" w:after="0"/>
              <w:rPr/>
            </w:pPr>
            <w:r>
              <w:rPr/>
              <w:t>96,5</w:t>
            </w:r>
          </w:p>
        </w:tc>
        <w:tc>
          <w:tcPr>
            <w:tcW w:w="833" w:type="dxa"/>
            <w:tcBorders/>
            <w:shd w:fill="auto" w:val="clear"/>
            <w:vAlign w:val="center"/>
          </w:tcPr>
          <w:p>
            <w:pPr>
              <w:pStyle w:val="Normal"/>
              <w:spacing w:lineRule="auto" w:line="240" w:before="0" w:after="0"/>
              <w:rPr/>
            </w:pPr>
            <w:r>
              <w:rPr/>
              <w:t>98,5</w:t>
            </w:r>
          </w:p>
        </w:tc>
        <w:tc>
          <w:tcPr>
            <w:tcW w:w="764" w:type="dxa"/>
            <w:tcBorders/>
            <w:shd w:fill="auto" w:val="clear"/>
            <w:vAlign w:val="center"/>
          </w:tcPr>
          <w:p>
            <w:pPr>
              <w:pStyle w:val="Normal"/>
              <w:spacing w:lineRule="auto" w:line="240" w:before="0" w:after="0"/>
              <w:rPr/>
            </w:pPr>
            <w:r>
              <w:rPr/>
              <w:t>100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Доля населения в зоне цифрового теле</w:t>
              <w:softHyphen/>
              <w:t>радиовещания в общей численности населения, %</w:t>
            </w:r>
          </w:p>
        </w:tc>
        <w:tc>
          <w:tcPr>
            <w:tcW w:w="1390" w:type="dxa"/>
            <w:tcBorders/>
            <w:shd w:fill="auto" w:val="clear"/>
            <w:vAlign w:val="center"/>
          </w:tcPr>
          <w:p>
            <w:pPr>
              <w:pStyle w:val="Normal"/>
              <w:spacing w:lineRule="auto" w:line="240" w:before="0" w:after="0"/>
              <w:rPr/>
            </w:pPr>
            <w:r>
              <w:rPr/>
              <w:t>96,4</w:t>
            </w:r>
          </w:p>
        </w:tc>
        <w:tc>
          <w:tcPr>
            <w:tcW w:w="832" w:type="dxa"/>
            <w:tcBorders/>
            <w:shd w:fill="auto" w:val="clear"/>
            <w:vAlign w:val="center"/>
          </w:tcPr>
          <w:p>
            <w:pPr>
              <w:pStyle w:val="Normal"/>
              <w:spacing w:lineRule="auto" w:line="240" w:before="0" w:after="0"/>
              <w:rPr/>
            </w:pPr>
            <w:r>
              <w:rPr/>
              <w:t>97,4</w:t>
            </w:r>
          </w:p>
        </w:tc>
        <w:tc>
          <w:tcPr>
            <w:tcW w:w="833" w:type="dxa"/>
            <w:tcBorders/>
            <w:shd w:fill="auto" w:val="clear"/>
            <w:vAlign w:val="center"/>
          </w:tcPr>
          <w:p>
            <w:pPr>
              <w:pStyle w:val="Normal"/>
              <w:spacing w:lineRule="auto" w:line="240" w:before="0" w:after="0"/>
              <w:rPr/>
            </w:pPr>
            <w:r>
              <w:rPr/>
              <w:t>98,4</w:t>
            </w:r>
          </w:p>
        </w:tc>
        <w:tc>
          <w:tcPr>
            <w:tcW w:w="764" w:type="dxa"/>
            <w:tcBorders/>
            <w:shd w:fill="auto" w:val="clear"/>
            <w:vAlign w:val="center"/>
          </w:tcPr>
          <w:p>
            <w:pPr>
              <w:pStyle w:val="Normal"/>
              <w:spacing w:lineRule="auto" w:line="240" w:before="0" w:after="0"/>
              <w:rPr/>
            </w:pPr>
            <w:r>
              <w:rPr/>
              <w:t>100</w:t>
            </w:r>
          </w:p>
        </w:tc>
      </w:tr>
      <w:tr>
        <w:trPr/>
        <w:tc>
          <w:tcPr>
            <w:tcW w:w="9637" w:type="dxa"/>
            <w:gridSpan w:val="6"/>
            <w:tcBorders/>
            <w:shd w:fill="auto" w:val="clear"/>
          </w:tcPr>
          <w:p>
            <w:pPr>
              <w:pStyle w:val="Normal"/>
              <w:spacing w:lineRule="auto" w:line="240" w:before="0" w:after="0"/>
              <w:jc w:val="center"/>
              <w:rPr>
                <w:b/>
                <w:b/>
              </w:rPr>
            </w:pPr>
            <w:bookmarkStart w:id="86" w:name="_Toc4084473"/>
            <w:r>
              <w:rPr>
                <w:b/>
              </w:rPr>
              <w:t>2.3.3. Обеспечение бесперебойной работы</w:t>
            </w:r>
            <w:bookmarkStart w:id="87" w:name="_Toc4084474"/>
            <w:bookmarkEnd w:id="86"/>
            <w:r>
              <w:rPr>
                <w:b/>
              </w:rPr>
              <w:t xml:space="preserve"> жилищно-коммунального комплекса</w:t>
            </w:r>
            <w:bookmarkEnd w:id="87"/>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Уровень газификации объектов социальной сферы, %</w:t>
            </w:r>
          </w:p>
        </w:tc>
        <w:tc>
          <w:tcPr>
            <w:tcW w:w="1390" w:type="dxa"/>
            <w:tcBorders/>
            <w:shd w:fill="auto" w:val="clear"/>
            <w:vAlign w:val="center"/>
          </w:tcPr>
          <w:p>
            <w:pPr>
              <w:pStyle w:val="Normal"/>
              <w:spacing w:lineRule="auto" w:line="240" w:before="0" w:after="0"/>
              <w:rPr/>
            </w:pPr>
            <w:r>
              <w:rPr/>
              <w:t>46</w:t>
            </w:r>
          </w:p>
        </w:tc>
        <w:tc>
          <w:tcPr>
            <w:tcW w:w="832" w:type="dxa"/>
            <w:tcBorders/>
            <w:shd w:fill="auto" w:val="clear"/>
            <w:vAlign w:val="center"/>
          </w:tcPr>
          <w:p>
            <w:pPr>
              <w:pStyle w:val="Normal"/>
              <w:spacing w:lineRule="auto" w:line="240" w:before="0" w:after="0"/>
              <w:rPr/>
            </w:pPr>
            <w:r>
              <w:rPr/>
              <w:t>50</w:t>
            </w:r>
          </w:p>
        </w:tc>
        <w:tc>
          <w:tcPr>
            <w:tcW w:w="833" w:type="dxa"/>
            <w:tcBorders/>
            <w:shd w:fill="auto" w:val="clear"/>
            <w:vAlign w:val="center"/>
          </w:tcPr>
          <w:p>
            <w:pPr>
              <w:pStyle w:val="Normal"/>
              <w:spacing w:lineRule="auto" w:line="240" w:before="0" w:after="0"/>
              <w:rPr>
                <w:lang w:val="en-US"/>
              </w:rPr>
            </w:pPr>
            <w:r>
              <w:rPr/>
              <w:t xml:space="preserve">Не </w:t>
            </w:r>
            <w:r>
              <w:rPr>
                <w:lang w:val="en-US"/>
              </w:rPr>
              <w:t>&lt;</w:t>
            </w:r>
            <w:r>
              <w:rPr/>
              <w:t>60</w:t>
            </w:r>
          </w:p>
        </w:tc>
        <w:tc>
          <w:tcPr>
            <w:tcW w:w="764" w:type="dxa"/>
            <w:tcBorders/>
            <w:shd w:fill="auto" w:val="clear"/>
            <w:vAlign w:val="center"/>
          </w:tcPr>
          <w:p>
            <w:pPr>
              <w:pStyle w:val="Normal"/>
              <w:spacing w:lineRule="auto" w:line="240" w:before="0" w:after="0"/>
              <w:rPr>
                <w:spacing w:val="-4"/>
              </w:rPr>
            </w:pPr>
            <w:r>
              <w:rPr/>
              <w:t xml:space="preserve">Не </w:t>
            </w:r>
            <w:r>
              <w:rPr>
                <w:lang w:val="en-US"/>
              </w:rPr>
              <w:t>&lt;</w:t>
            </w:r>
            <w:r>
              <w:rPr/>
              <w:t>60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Удельный вес площади жилищного фонда, оборудованного водопроводом, %</w:t>
            </w:r>
          </w:p>
        </w:tc>
        <w:tc>
          <w:tcPr>
            <w:tcW w:w="1390" w:type="dxa"/>
            <w:tcBorders/>
            <w:shd w:fill="auto" w:val="clear"/>
            <w:vAlign w:val="center"/>
          </w:tcPr>
          <w:p>
            <w:pPr>
              <w:pStyle w:val="Normal"/>
              <w:spacing w:lineRule="auto" w:line="240" w:before="0" w:after="0"/>
              <w:rPr/>
            </w:pPr>
            <w:r>
              <w:rPr/>
              <w:t>46</w:t>
            </w:r>
          </w:p>
        </w:tc>
        <w:tc>
          <w:tcPr>
            <w:tcW w:w="832" w:type="dxa"/>
            <w:tcBorders/>
            <w:shd w:fill="auto" w:val="clear"/>
            <w:vAlign w:val="center"/>
          </w:tcPr>
          <w:p>
            <w:pPr>
              <w:pStyle w:val="Normal"/>
              <w:spacing w:lineRule="auto" w:line="240" w:before="0" w:after="0"/>
              <w:rPr/>
            </w:pPr>
            <w:r>
              <w:rPr/>
              <w:t>67</w:t>
            </w:r>
          </w:p>
        </w:tc>
        <w:tc>
          <w:tcPr>
            <w:tcW w:w="833" w:type="dxa"/>
            <w:tcBorders/>
            <w:shd w:fill="auto" w:val="clear"/>
            <w:vAlign w:val="center"/>
          </w:tcPr>
          <w:p>
            <w:pPr>
              <w:pStyle w:val="Normal"/>
              <w:spacing w:lineRule="auto" w:line="240" w:before="0" w:after="0"/>
              <w:rPr/>
            </w:pPr>
            <w:r>
              <w:rPr/>
              <w:t xml:space="preserve">Не </w:t>
            </w:r>
            <w:r>
              <w:rPr>
                <w:lang w:val="en-US"/>
              </w:rPr>
              <w:t>&lt;</w:t>
            </w:r>
            <w:r>
              <w:rPr/>
              <w:t>70</w:t>
            </w:r>
          </w:p>
        </w:tc>
        <w:tc>
          <w:tcPr>
            <w:tcW w:w="764" w:type="dxa"/>
            <w:tcBorders/>
            <w:shd w:fill="auto" w:val="clear"/>
            <w:vAlign w:val="center"/>
          </w:tcPr>
          <w:p>
            <w:pPr>
              <w:pStyle w:val="Normal"/>
              <w:spacing w:lineRule="auto" w:line="240" w:before="0" w:after="0"/>
              <w:rPr/>
            </w:pPr>
            <w:r>
              <w:rPr/>
              <w:t xml:space="preserve">Не </w:t>
            </w:r>
            <w:r>
              <w:rPr>
                <w:lang w:val="en-US"/>
              </w:rPr>
              <w:t>&lt;</w:t>
            </w:r>
            <w:r>
              <w:rPr/>
              <w:t>70</w:t>
            </w:r>
          </w:p>
        </w:tc>
      </w:tr>
      <w:tr>
        <w:trPr/>
        <w:tc>
          <w:tcPr>
            <w:tcW w:w="9637" w:type="dxa"/>
            <w:gridSpan w:val="6"/>
            <w:tcBorders/>
            <w:shd w:fill="auto" w:val="clear"/>
          </w:tcPr>
          <w:p>
            <w:pPr>
              <w:pStyle w:val="Normal"/>
              <w:spacing w:lineRule="auto" w:line="240" w:before="0" w:after="0"/>
              <w:jc w:val="center"/>
              <w:rPr>
                <w:b/>
                <w:b/>
              </w:rPr>
            </w:pPr>
            <w:bookmarkStart w:id="88" w:name="_Toc4084478"/>
            <w:r>
              <w:rPr>
                <w:rFonts w:eastAsia="Calibri"/>
                <w:b/>
              </w:rPr>
              <w:t>2.3.4. Обеспечение безопасности жизнедеятельности, в том числе экологической безопасности</w:t>
            </w:r>
            <w:bookmarkEnd w:id="88"/>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зарегистрированных преступлений на 10000 населения</w:t>
            </w:r>
          </w:p>
        </w:tc>
        <w:tc>
          <w:tcPr>
            <w:tcW w:w="1390" w:type="dxa"/>
            <w:tcBorders/>
            <w:shd w:fill="auto" w:val="clear"/>
            <w:vAlign w:val="center"/>
          </w:tcPr>
          <w:p>
            <w:pPr>
              <w:pStyle w:val="Normal"/>
              <w:spacing w:lineRule="auto" w:line="240" w:before="0" w:after="0"/>
              <w:rPr>
                <w:rFonts w:eastAsia="Calibri"/>
              </w:rPr>
            </w:pPr>
            <w:r>
              <w:rPr>
                <w:rFonts w:eastAsia="Calibri"/>
              </w:rPr>
              <w:t>122,3</w:t>
            </w:r>
          </w:p>
        </w:tc>
        <w:tc>
          <w:tcPr>
            <w:tcW w:w="832" w:type="dxa"/>
            <w:tcBorders/>
            <w:shd w:fill="auto" w:val="clear"/>
            <w:vAlign w:val="center"/>
          </w:tcPr>
          <w:p>
            <w:pPr>
              <w:pStyle w:val="Normal"/>
              <w:spacing w:lineRule="auto" w:line="240" w:before="0" w:after="0"/>
              <w:rPr>
                <w:rFonts w:eastAsia="Calibri"/>
              </w:rPr>
            </w:pPr>
            <w:r>
              <w:rPr>
                <w:rFonts w:eastAsia="Calibri"/>
              </w:rPr>
              <w:t>105,4</w:t>
            </w:r>
          </w:p>
        </w:tc>
        <w:tc>
          <w:tcPr>
            <w:tcW w:w="833" w:type="dxa"/>
            <w:tcBorders/>
            <w:shd w:fill="auto" w:val="clear"/>
            <w:vAlign w:val="center"/>
          </w:tcPr>
          <w:p>
            <w:pPr>
              <w:pStyle w:val="Normal"/>
              <w:spacing w:lineRule="auto" w:line="240" w:before="0" w:after="0"/>
              <w:rPr>
                <w:rFonts w:eastAsia="Calibri"/>
              </w:rPr>
            </w:pPr>
            <w:r>
              <w:rPr>
                <w:rFonts w:eastAsia="Calibri"/>
              </w:rPr>
              <w:t>92,7</w:t>
            </w:r>
          </w:p>
        </w:tc>
        <w:tc>
          <w:tcPr>
            <w:tcW w:w="764" w:type="dxa"/>
            <w:tcBorders/>
            <w:shd w:fill="auto" w:val="clear"/>
            <w:vAlign w:val="center"/>
          </w:tcPr>
          <w:p>
            <w:pPr>
              <w:pStyle w:val="Normal"/>
              <w:spacing w:lineRule="auto" w:line="240" w:before="0" w:after="0"/>
              <w:rPr>
                <w:rFonts w:eastAsia="Calibri"/>
              </w:rPr>
            </w:pPr>
            <w:r>
              <w:rPr>
                <w:rFonts w:eastAsia="Calibri"/>
              </w:rPr>
              <w:t>81,5</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больных алкоголизмом и алкогольными психозами, чел.</w:t>
            </w:r>
          </w:p>
        </w:tc>
        <w:tc>
          <w:tcPr>
            <w:tcW w:w="1390" w:type="dxa"/>
            <w:tcBorders/>
            <w:shd w:fill="auto" w:val="clear"/>
          </w:tcPr>
          <w:p>
            <w:pPr>
              <w:pStyle w:val="Normal"/>
              <w:spacing w:lineRule="auto" w:line="240" w:before="0" w:after="0"/>
              <w:rPr>
                <w:rFonts w:eastAsia="Calibri"/>
              </w:rPr>
            </w:pPr>
            <w:r>
              <w:rPr>
                <w:rFonts w:eastAsia="Calibri"/>
              </w:rPr>
              <w:t>187</w:t>
            </w:r>
          </w:p>
        </w:tc>
        <w:tc>
          <w:tcPr>
            <w:tcW w:w="832" w:type="dxa"/>
            <w:tcBorders/>
            <w:shd w:fill="auto" w:val="clear"/>
          </w:tcPr>
          <w:p>
            <w:pPr>
              <w:pStyle w:val="Normal"/>
              <w:spacing w:lineRule="auto" w:line="240" w:before="0" w:after="0"/>
              <w:rPr>
                <w:rFonts w:eastAsia="Calibri"/>
              </w:rPr>
            </w:pPr>
            <w:r>
              <w:rPr>
                <w:rFonts w:eastAsia="Calibri"/>
              </w:rPr>
              <w:t>141</w:t>
            </w:r>
          </w:p>
        </w:tc>
        <w:tc>
          <w:tcPr>
            <w:tcW w:w="833" w:type="dxa"/>
            <w:tcBorders/>
            <w:shd w:fill="auto" w:val="clear"/>
          </w:tcPr>
          <w:p>
            <w:pPr>
              <w:pStyle w:val="Normal"/>
              <w:spacing w:lineRule="auto" w:line="240" w:before="0" w:after="0"/>
              <w:rPr>
                <w:rFonts w:eastAsia="Calibri"/>
              </w:rPr>
            </w:pPr>
            <w:r>
              <w:rPr>
                <w:rFonts w:eastAsia="Calibri"/>
              </w:rPr>
              <w:t>113</w:t>
            </w:r>
          </w:p>
        </w:tc>
        <w:tc>
          <w:tcPr>
            <w:tcW w:w="764" w:type="dxa"/>
            <w:tcBorders/>
            <w:shd w:fill="auto" w:val="clear"/>
          </w:tcPr>
          <w:p>
            <w:pPr>
              <w:pStyle w:val="Normal"/>
              <w:spacing w:lineRule="auto" w:line="240" w:before="0" w:after="0"/>
              <w:rPr>
                <w:rFonts w:eastAsia="Calibri"/>
              </w:rPr>
            </w:pPr>
            <w:r>
              <w:rPr>
                <w:rFonts w:eastAsia="Calibri"/>
              </w:rPr>
              <w:t>94</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больных наркоманией, человек</w:t>
            </w:r>
          </w:p>
        </w:tc>
        <w:tc>
          <w:tcPr>
            <w:tcW w:w="1390" w:type="dxa"/>
            <w:tcBorders/>
            <w:shd w:fill="auto" w:val="clear"/>
          </w:tcPr>
          <w:p>
            <w:pPr>
              <w:pStyle w:val="Normal"/>
              <w:spacing w:lineRule="auto" w:line="240" w:before="0" w:after="0"/>
              <w:rPr>
                <w:rFonts w:eastAsia="Calibri"/>
              </w:rPr>
            </w:pPr>
            <w:r>
              <w:rPr>
                <w:rFonts w:eastAsia="Calibri"/>
              </w:rPr>
              <w:t>13</w:t>
            </w:r>
          </w:p>
        </w:tc>
        <w:tc>
          <w:tcPr>
            <w:tcW w:w="832" w:type="dxa"/>
            <w:tcBorders/>
            <w:shd w:fill="auto" w:val="clear"/>
          </w:tcPr>
          <w:p>
            <w:pPr>
              <w:pStyle w:val="Normal"/>
              <w:spacing w:lineRule="auto" w:line="240" w:before="0" w:after="0"/>
              <w:rPr>
                <w:rFonts w:eastAsia="Calibri"/>
              </w:rPr>
            </w:pPr>
            <w:r>
              <w:rPr>
                <w:rFonts w:eastAsia="Calibri"/>
              </w:rPr>
              <w:t>10</w:t>
            </w:r>
          </w:p>
        </w:tc>
        <w:tc>
          <w:tcPr>
            <w:tcW w:w="833" w:type="dxa"/>
            <w:tcBorders/>
            <w:shd w:fill="auto" w:val="clear"/>
          </w:tcPr>
          <w:p>
            <w:pPr>
              <w:pStyle w:val="Normal"/>
              <w:spacing w:lineRule="auto" w:line="240" w:before="0" w:after="0"/>
              <w:rPr>
                <w:rFonts w:eastAsia="Calibri"/>
              </w:rPr>
            </w:pPr>
            <w:r>
              <w:rPr>
                <w:rFonts w:eastAsia="Calibri"/>
              </w:rPr>
              <w:t>8</w:t>
            </w:r>
          </w:p>
        </w:tc>
        <w:tc>
          <w:tcPr>
            <w:tcW w:w="764" w:type="dxa"/>
            <w:tcBorders/>
            <w:shd w:fill="auto" w:val="clear"/>
          </w:tcPr>
          <w:p>
            <w:pPr>
              <w:pStyle w:val="Normal"/>
              <w:spacing w:lineRule="auto" w:line="240" w:before="0" w:after="0"/>
              <w:rPr>
                <w:rFonts w:eastAsia="Calibri"/>
              </w:rPr>
            </w:pPr>
            <w:r>
              <w:rPr>
                <w:rFonts w:eastAsia="Calibri"/>
              </w:rPr>
              <w:t>6</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больных токсикоманией, человек</w:t>
            </w:r>
          </w:p>
        </w:tc>
        <w:tc>
          <w:tcPr>
            <w:tcW w:w="1390" w:type="dxa"/>
            <w:tcBorders/>
            <w:shd w:fill="auto" w:val="clear"/>
          </w:tcPr>
          <w:p>
            <w:pPr>
              <w:pStyle w:val="Normal"/>
              <w:spacing w:lineRule="auto" w:line="240" w:before="0" w:after="0"/>
              <w:rPr>
                <w:rFonts w:eastAsia="Calibri"/>
              </w:rPr>
            </w:pPr>
            <w:r>
              <w:rPr>
                <w:rFonts w:eastAsia="Calibri"/>
              </w:rPr>
              <w:t>1</w:t>
            </w:r>
          </w:p>
        </w:tc>
        <w:tc>
          <w:tcPr>
            <w:tcW w:w="832" w:type="dxa"/>
            <w:tcBorders/>
            <w:shd w:fill="auto" w:val="clear"/>
          </w:tcPr>
          <w:p>
            <w:pPr>
              <w:pStyle w:val="Normal"/>
              <w:spacing w:lineRule="auto" w:line="240" w:before="0" w:after="0"/>
              <w:rPr>
                <w:rFonts w:eastAsia="Calibri"/>
              </w:rPr>
            </w:pPr>
            <w:r>
              <w:rPr>
                <w:rFonts w:eastAsia="Calibri"/>
              </w:rPr>
              <w:t>0</w:t>
            </w:r>
          </w:p>
        </w:tc>
        <w:tc>
          <w:tcPr>
            <w:tcW w:w="833" w:type="dxa"/>
            <w:tcBorders/>
            <w:shd w:fill="auto" w:val="clear"/>
          </w:tcPr>
          <w:p>
            <w:pPr>
              <w:pStyle w:val="Normal"/>
              <w:spacing w:lineRule="auto" w:line="240" w:before="0" w:after="0"/>
              <w:rPr>
                <w:rFonts w:eastAsia="Calibri"/>
              </w:rPr>
            </w:pPr>
            <w:r>
              <w:rPr>
                <w:rFonts w:eastAsia="Calibri"/>
              </w:rPr>
              <w:t>0</w:t>
            </w:r>
          </w:p>
        </w:tc>
        <w:tc>
          <w:tcPr>
            <w:tcW w:w="764" w:type="dxa"/>
            <w:tcBorders/>
            <w:shd w:fill="auto" w:val="clear"/>
          </w:tcPr>
          <w:p>
            <w:pPr>
              <w:pStyle w:val="Normal"/>
              <w:spacing w:lineRule="auto" w:line="240" w:before="0" w:after="0"/>
              <w:rPr>
                <w:rFonts w:eastAsia="Calibri"/>
              </w:rPr>
            </w:pPr>
            <w:r>
              <w:rPr>
                <w:rFonts w:eastAsia="Calibri"/>
              </w:rPr>
              <w:t>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пострадавших в результате пожаров, чел.</w:t>
            </w:r>
          </w:p>
        </w:tc>
        <w:tc>
          <w:tcPr>
            <w:tcW w:w="1390" w:type="dxa"/>
            <w:tcBorders/>
            <w:shd w:fill="auto" w:val="clear"/>
            <w:vAlign w:val="center"/>
          </w:tcPr>
          <w:p>
            <w:pPr>
              <w:pStyle w:val="Normal"/>
              <w:spacing w:lineRule="auto" w:line="240" w:before="0" w:after="0"/>
              <w:rPr>
                <w:rFonts w:eastAsia="Calibri"/>
              </w:rPr>
            </w:pPr>
            <w:r>
              <w:rPr>
                <w:rFonts w:eastAsia="Calibri"/>
              </w:rPr>
              <w:t>4</w:t>
            </w:r>
          </w:p>
        </w:tc>
        <w:tc>
          <w:tcPr>
            <w:tcW w:w="832" w:type="dxa"/>
            <w:tcBorders/>
            <w:shd w:fill="auto" w:val="clear"/>
            <w:vAlign w:val="center"/>
          </w:tcPr>
          <w:p>
            <w:pPr>
              <w:pStyle w:val="Normal"/>
              <w:spacing w:lineRule="auto" w:line="240" w:before="0" w:after="0"/>
              <w:rPr>
                <w:rFonts w:eastAsia="Calibri"/>
              </w:rPr>
            </w:pPr>
            <w:r>
              <w:rPr>
                <w:rFonts w:eastAsia="Calibri"/>
              </w:rPr>
              <w:t>3</w:t>
            </w:r>
          </w:p>
        </w:tc>
        <w:tc>
          <w:tcPr>
            <w:tcW w:w="833" w:type="dxa"/>
            <w:tcBorders/>
            <w:shd w:fill="auto" w:val="clear"/>
            <w:vAlign w:val="center"/>
          </w:tcPr>
          <w:p>
            <w:pPr>
              <w:pStyle w:val="Normal"/>
              <w:spacing w:lineRule="auto" w:line="240" w:before="0" w:after="0"/>
              <w:rPr>
                <w:rFonts w:eastAsia="Calibri"/>
              </w:rPr>
            </w:pPr>
            <w:r>
              <w:rPr>
                <w:rFonts w:eastAsia="Calibri"/>
              </w:rPr>
              <w:t>2</w:t>
            </w:r>
          </w:p>
        </w:tc>
        <w:tc>
          <w:tcPr>
            <w:tcW w:w="764" w:type="dxa"/>
            <w:tcBorders/>
            <w:shd w:fill="auto" w:val="clear"/>
            <w:vAlign w:val="center"/>
          </w:tcPr>
          <w:p>
            <w:pPr>
              <w:pStyle w:val="Normal"/>
              <w:spacing w:lineRule="auto" w:line="240" w:before="0" w:after="0"/>
              <w:rPr>
                <w:rFonts w:eastAsia="Calibri"/>
              </w:rPr>
            </w:pPr>
            <w:r>
              <w:rPr>
                <w:rFonts w:eastAsia="Calibri"/>
              </w:rPr>
              <w:t>2</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погибших в результате пожаров, чел.</w:t>
            </w:r>
          </w:p>
        </w:tc>
        <w:tc>
          <w:tcPr>
            <w:tcW w:w="1390" w:type="dxa"/>
            <w:tcBorders/>
            <w:shd w:fill="auto" w:val="clear"/>
            <w:vAlign w:val="center"/>
          </w:tcPr>
          <w:p>
            <w:pPr>
              <w:pStyle w:val="Normal"/>
              <w:spacing w:lineRule="auto" w:line="240" w:before="0" w:after="0"/>
              <w:rPr>
                <w:rFonts w:eastAsia="Calibri"/>
              </w:rPr>
            </w:pPr>
            <w:r>
              <w:rPr>
                <w:rFonts w:eastAsia="Calibri"/>
              </w:rPr>
              <w:t>1</w:t>
            </w:r>
          </w:p>
        </w:tc>
        <w:tc>
          <w:tcPr>
            <w:tcW w:w="832" w:type="dxa"/>
            <w:tcBorders/>
            <w:shd w:fill="auto" w:val="clear"/>
            <w:vAlign w:val="center"/>
          </w:tcPr>
          <w:p>
            <w:pPr>
              <w:pStyle w:val="Normal"/>
              <w:spacing w:lineRule="auto" w:line="240" w:before="0" w:after="0"/>
              <w:rPr>
                <w:rFonts w:eastAsia="Calibri"/>
              </w:rPr>
            </w:pPr>
            <w:r>
              <w:rPr>
                <w:rFonts w:eastAsia="Calibri"/>
              </w:rPr>
              <w:t>0</w:t>
            </w:r>
          </w:p>
        </w:tc>
        <w:tc>
          <w:tcPr>
            <w:tcW w:w="833" w:type="dxa"/>
            <w:tcBorders/>
            <w:shd w:fill="auto" w:val="clear"/>
            <w:vAlign w:val="center"/>
          </w:tcPr>
          <w:p>
            <w:pPr>
              <w:pStyle w:val="Normal"/>
              <w:spacing w:lineRule="auto" w:line="240" w:before="0" w:after="0"/>
              <w:rPr>
                <w:rFonts w:eastAsia="Calibri"/>
              </w:rPr>
            </w:pPr>
            <w:r>
              <w:rPr>
                <w:rFonts w:eastAsia="Calibri"/>
              </w:rPr>
              <w:t>0</w:t>
            </w:r>
          </w:p>
        </w:tc>
        <w:tc>
          <w:tcPr>
            <w:tcW w:w="764" w:type="dxa"/>
            <w:tcBorders/>
            <w:shd w:fill="auto" w:val="clear"/>
            <w:vAlign w:val="center"/>
          </w:tcPr>
          <w:p>
            <w:pPr>
              <w:pStyle w:val="Normal"/>
              <w:spacing w:lineRule="auto" w:line="240" w:before="0" w:after="0"/>
              <w:rPr>
                <w:rFonts w:eastAsia="Calibri"/>
              </w:rPr>
            </w:pPr>
            <w:r>
              <w:rPr>
                <w:rFonts w:eastAsia="Calibri"/>
              </w:rPr>
              <w:t>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Выбросы загрязняющих веществ в атмосферный воздух, тонн</w:t>
            </w:r>
          </w:p>
        </w:tc>
        <w:tc>
          <w:tcPr>
            <w:tcW w:w="1390" w:type="dxa"/>
            <w:tcBorders/>
            <w:shd w:fill="auto" w:val="clear"/>
            <w:vAlign w:val="center"/>
          </w:tcPr>
          <w:p>
            <w:pPr>
              <w:pStyle w:val="Normal"/>
              <w:spacing w:lineRule="auto" w:line="240" w:before="0" w:after="0"/>
              <w:rPr>
                <w:rFonts w:eastAsia="Calibri"/>
              </w:rPr>
            </w:pPr>
            <w:r>
              <w:rPr>
                <w:rFonts w:eastAsia="Calibri"/>
              </w:rPr>
              <w:t>106</w:t>
            </w:r>
          </w:p>
        </w:tc>
        <w:tc>
          <w:tcPr>
            <w:tcW w:w="832" w:type="dxa"/>
            <w:tcBorders/>
            <w:shd w:fill="auto" w:val="clear"/>
            <w:vAlign w:val="center"/>
          </w:tcPr>
          <w:p>
            <w:pPr>
              <w:pStyle w:val="Normal"/>
              <w:spacing w:lineRule="auto" w:line="240" w:before="0" w:after="0"/>
              <w:rPr>
                <w:rFonts w:eastAsia="Calibri"/>
              </w:rPr>
            </w:pPr>
            <w:r>
              <w:rPr>
                <w:rFonts w:eastAsia="Calibri"/>
              </w:rPr>
              <w:t>106</w:t>
            </w:r>
          </w:p>
        </w:tc>
        <w:tc>
          <w:tcPr>
            <w:tcW w:w="833" w:type="dxa"/>
            <w:tcBorders/>
            <w:shd w:fill="auto" w:val="clear"/>
            <w:vAlign w:val="center"/>
          </w:tcPr>
          <w:p>
            <w:pPr>
              <w:pStyle w:val="Normal"/>
              <w:spacing w:lineRule="auto" w:line="240" w:before="0" w:after="0"/>
              <w:rPr>
                <w:rFonts w:eastAsia="Calibri"/>
              </w:rPr>
            </w:pPr>
            <w:r>
              <w:rPr>
                <w:rFonts w:eastAsia="Calibri"/>
              </w:rPr>
              <w:t>106</w:t>
            </w:r>
          </w:p>
        </w:tc>
        <w:tc>
          <w:tcPr>
            <w:tcW w:w="764" w:type="dxa"/>
            <w:tcBorders/>
            <w:shd w:fill="auto" w:val="clear"/>
            <w:vAlign w:val="center"/>
          </w:tcPr>
          <w:p>
            <w:pPr>
              <w:pStyle w:val="Normal"/>
              <w:spacing w:lineRule="auto" w:line="240" w:before="0" w:after="0"/>
              <w:rPr>
                <w:rFonts w:eastAsia="Calibri"/>
              </w:rPr>
            </w:pPr>
            <w:r>
              <w:rPr>
                <w:rFonts w:eastAsia="Calibri"/>
              </w:rPr>
              <w:t>106</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использованных и обезвреженных отходов в общем объёме образовавшихся отходов</w:t>
            </w:r>
          </w:p>
          <w:p>
            <w:pPr>
              <w:pStyle w:val="Normal"/>
              <w:spacing w:lineRule="auto" w:line="240" w:before="0" w:after="0"/>
              <w:rPr>
                <w:rFonts w:eastAsia="Calibri"/>
              </w:rPr>
            </w:pPr>
            <w:r>
              <w:rPr>
                <w:rFonts w:eastAsia="Calibri"/>
              </w:rPr>
              <w:t xml:space="preserve"> </w:t>
            </w:r>
            <w:r>
              <w:rPr>
                <w:rFonts w:eastAsia="Calibri"/>
              </w:rPr>
              <w:t>в процессе производства и потребления, %</w:t>
            </w:r>
          </w:p>
        </w:tc>
        <w:tc>
          <w:tcPr>
            <w:tcW w:w="1390" w:type="dxa"/>
            <w:tcBorders/>
            <w:shd w:fill="auto" w:val="clear"/>
            <w:vAlign w:val="center"/>
          </w:tcPr>
          <w:p>
            <w:pPr>
              <w:pStyle w:val="Normal"/>
              <w:spacing w:lineRule="auto" w:line="240" w:before="0" w:after="0"/>
              <w:rPr>
                <w:rFonts w:eastAsia="Calibri"/>
              </w:rPr>
            </w:pPr>
            <w:r>
              <w:rPr>
                <w:rFonts w:eastAsia="Calibri"/>
              </w:rPr>
              <w:t>н/д</w:t>
            </w:r>
          </w:p>
        </w:tc>
        <w:tc>
          <w:tcPr>
            <w:tcW w:w="832" w:type="dxa"/>
            <w:tcBorders/>
            <w:shd w:fill="auto" w:val="clear"/>
            <w:vAlign w:val="center"/>
          </w:tcPr>
          <w:p>
            <w:pPr>
              <w:pStyle w:val="Normal"/>
              <w:spacing w:lineRule="auto" w:line="240" w:before="0" w:after="0"/>
              <w:rPr>
                <w:rFonts w:eastAsia="Calibri"/>
              </w:rPr>
            </w:pPr>
            <w:r>
              <w:rPr>
                <w:rFonts w:eastAsia="Calibri"/>
              </w:rPr>
              <w:t>10</w:t>
            </w:r>
          </w:p>
        </w:tc>
        <w:tc>
          <w:tcPr>
            <w:tcW w:w="833" w:type="dxa"/>
            <w:tcBorders/>
            <w:shd w:fill="auto" w:val="clear"/>
            <w:vAlign w:val="center"/>
          </w:tcPr>
          <w:p>
            <w:pPr>
              <w:pStyle w:val="Normal"/>
              <w:spacing w:lineRule="auto" w:line="240" w:before="0" w:after="0"/>
              <w:rPr>
                <w:rFonts w:eastAsia="Calibri"/>
              </w:rPr>
            </w:pPr>
            <w:r>
              <w:rPr>
                <w:rFonts w:eastAsia="Calibri"/>
              </w:rPr>
              <w:t>20</w:t>
            </w:r>
          </w:p>
        </w:tc>
        <w:tc>
          <w:tcPr>
            <w:tcW w:w="764" w:type="dxa"/>
            <w:tcBorders/>
            <w:shd w:fill="auto" w:val="clear"/>
            <w:vAlign w:val="center"/>
          </w:tcPr>
          <w:p>
            <w:pPr>
              <w:pStyle w:val="Normal"/>
              <w:spacing w:lineRule="auto" w:line="240" w:before="0" w:after="0"/>
              <w:rPr>
                <w:rFonts w:eastAsia="Calibri"/>
              </w:rPr>
            </w:pPr>
            <w:r>
              <w:rPr>
                <w:rFonts w:eastAsia="Calibri"/>
              </w:rPr>
              <w:t>50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 xml:space="preserve">Количество несанкционированных свалок, ед. </w:t>
            </w:r>
          </w:p>
        </w:tc>
        <w:tc>
          <w:tcPr>
            <w:tcW w:w="1390" w:type="dxa"/>
            <w:tcBorders/>
            <w:shd w:fill="auto" w:val="clear"/>
            <w:vAlign w:val="center"/>
          </w:tcPr>
          <w:p>
            <w:pPr>
              <w:pStyle w:val="Normal"/>
              <w:spacing w:lineRule="auto" w:line="240" w:before="0" w:after="0"/>
              <w:rPr>
                <w:rFonts w:eastAsia="Calibri"/>
              </w:rPr>
            </w:pPr>
            <w:r>
              <w:rPr>
                <w:rFonts w:eastAsia="Calibri"/>
              </w:rPr>
              <w:t>22</w:t>
            </w:r>
          </w:p>
        </w:tc>
        <w:tc>
          <w:tcPr>
            <w:tcW w:w="832" w:type="dxa"/>
            <w:tcBorders/>
            <w:shd w:fill="auto" w:val="clear"/>
            <w:vAlign w:val="center"/>
          </w:tcPr>
          <w:p>
            <w:pPr>
              <w:pStyle w:val="Normal"/>
              <w:spacing w:lineRule="auto" w:line="240" w:before="0" w:after="0"/>
              <w:rPr>
                <w:rFonts w:eastAsia="Calibri"/>
              </w:rPr>
            </w:pPr>
            <w:r>
              <w:rPr>
                <w:rFonts w:eastAsia="Calibri"/>
              </w:rPr>
              <w:t>17</w:t>
            </w:r>
          </w:p>
        </w:tc>
        <w:tc>
          <w:tcPr>
            <w:tcW w:w="833" w:type="dxa"/>
            <w:tcBorders/>
            <w:shd w:fill="auto" w:val="clear"/>
            <w:vAlign w:val="center"/>
          </w:tcPr>
          <w:p>
            <w:pPr>
              <w:pStyle w:val="Normal"/>
              <w:spacing w:lineRule="auto" w:line="240" w:before="0" w:after="0"/>
              <w:rPr>
                <w:rFonts w:eastAsia="Calibri"/>
              </w:rPr>
            </w:pPr>
            <w:r>
              <w:rPr>
                <w:rFonts w:eastAsia="Calibri"/>
              </w:rPr>
              <w:t>10</w:t>
            </w:r>
          </w:p>
        </w:tc>
        <w:tc>
          <w:tcPr>
            <w:tcW w:w="764" w:type="dxa"/>
            <w:tcBorders/>
            <w:shd w:fill="auto" w:val="clear"/>
            <w:vAlign w:val="center"/>
          </w:tcPr>
          <w:p>
            <w:pPr>
              <w:pStyle w:val="Normal"/>
              <w:spacing w:lineRule="auto" w:line="240" w:before="0" w:after="0"/>
              <w:rPr>
                <w:rFonts w:eastAsia="Calibri"/>
              </w:rPr>
            </w:pPr>
            <w:r>
              <w:rPr>
                <w:rFonts w:eastAsia="Calibri"/>
              </w:rPr>
              <w:t>0</w:t>
            </w:r>
          </w:p>
        </w:tc>
      </w:tr>
    </w:tbl>
    <w:p>
      <w:pPr>
        <w:sectPr>
          <w:headerReference w:type="default" r:id="rId41"/>
          <w:type w:val="nextPage"/>
          <w:pgSz w:w="11906" w:h="16838"/>
          <w:pgMar w:left="1701" w:right="567" w:header="709" w:top="1134" w:footer="0" w:bottom="1134" w:gutter="0"/>
          <w:pgNumType w:fmt="decimal"/>
          <w:formProt w:val="false"/>
          <w:textDirection w:val="lrTb"/>
          <w:docGrid w:type="default" w:linePitch="360" w:charSpace="0"/>
        </w:sectPr>
      </w:pPr>
    </w:p>
    <w:p>
      <w:pPr>
        <w:pStyle w:val="Normal"/>
        <w:jc w:val="right"/>
        <w:rPr>
          <w:rFonts w:cs="Times New Roman"/>
          <w:b/>
          <w:b/>
          <w:sz w:val="28"/>
          <w:szCs w:val="28"/>
        </w:rPr>
      </w:pPr>
      <w:r>
        <w:rPr>
          <w:rFonts w:cs="Times New Roman"/>
          <w:b/>
          <w:sz w:val="28"/>
          <w:szCs w:val="28"/>
        </w:rPr>
        <w:t>Приложение 4</w:t>
      </w:r>
    </w:p>
    <w:p>
      <w:pPr>
        <w:pStyle w:val="Normal"/>
        <w:jc w:val="center"/>
        <w:rPr>
          <w:rFonts w:cs="Times New Roman"/>
          <w:b/>
          <w:b/>
          <w:sz w:val="28"/>
          <w:szCs w:val="28"/>
        </w:rPr>
      </w:pPr>
      <w:r>
        <w:rPr>
          <w:rFonts w:cs="Times New Roman"/>
          <w:b/>
          <w:sz w:val="28"/>
          <w:szCs w:val="28"/>
        </w:rPr>
      </w:r>
    </w:p>
    <w:p>
      <w:pPr>
        <w:pStyle w:val="01"/>
        <w:rPr/>
      </w:pPr>
      <w:bookmarkStart w:id="89" w:name="_Toc4405039"/>
      <w:r>
        <w:rPr/>
        <w:t>АНАЛИЗ ОТЧЁТНОЙ ИНФОРМАЦИИ О ДОСТИЖЕНИИ ЦЕЛЕВЫХ ПОКАЗАТЕЛЕЙ ЭФФЕКТИВНОСТИ РЕАЛИЗАЦИИ ДЕЙСТВУЮЩЕЙ СТРАТЕГИИ РАЙОНА ЗА ПРЕДЫДУЩИЕ ПЕРИОДЫ</w:t>
      </w:r>
      <w:bookmarkEnd w:id="89"/>
    </w:p>
    <w:p>
      <w:pPr>
        <w:pStyle w:val="Normal"/>
        <w:jc w:val="center"/>
        <w:rPr>
          <w:rFonts w:cs="Times New Roman"/>
          <w:b/>
          <w:b/>
          <w:sz w:val="28"/>
          <w:szCs w:val="28"/>
        </w:rPr>
      </w:pPr>
      <w:r>
        <w:rPr>
          <w:rFonts w:cs="Times New Roman"/>
          <w:b/>
          <w:sz w:val="28"/>
          <w:szCs w:val="28"/>
        </w:rPr>
      </w:r>
    </w:p>
    <w:p>
      <w:pPr>
        <w:pStyle w:val="Normal"/>
        <w:widowControl w:val="false"/>
        <w:tabs>
          <w:tab w:val="clear" w:pos="708"/>
          <w:tab w:val="left" w:pos="142" w:leader="none"/>
        </w:tabs>
        <w:ind w:firstLine="709"/>
        <w:jc w:val="both"/>
        <w:rPr>
          <w:rFonts w:eastAsia="Calibri" w:cs="Times New Roman"/>
          <w:sz w:val="28"/>
          <w:szCs w:val="28"/>
        </w:rPr>
      </w:pPr>
      <w:r>
        <w:rPr>
          <w:rFonts w:eastAsia="Calibri" w:cs="Times New Roman"/>
          <w:sz w:val="28"/>
          <w:szCs w:val="28"/>
        </w:rPr>
        <w:t xml:space="preserve">В настоящее время в Тереньгульском районе действует </w:t>
      </w:r>
      <w:r>
        <w:rPr>
          <w:rFonts w:cs="Times New Roman"/>
          <w:color w:val="000000"/>
          <w:sz w:val="28"/>
          <w:szCs w:val="28"/>
        </w:rPr>
        <w:t xml:space="preserve">Стратегия социально-экономического развития муниципального образования «Тереньгульский район» до 2030 года </w:t>
      </w:r>
      <w:r>
        <w:rPr>
          <w:rFonts w:eastAsia="Calibri" w:cs="Times New Roman"/>
          <w:sz w:val="28"/>
          <w:szCs w:val="28"/>
        </w:rPr>
        <w:t xml:space="preserve">(далее – Стратегии СЭР), утверждённая </w:t>
      </w:r>
      <w:r>
        <w:rPr>
          <w:rFonts w:cs="Times New Roman"/>
          <w:sz w:val="28"/>
          <w:szCs w:val="28"/>
        </w:rPr>
        <w:t xml:space="preserve">Решением Совета депутатов муниципального образования </w:t>
      </w:r>
      <w:r>
        <w:rPr>
          <w:rFonts w:cs="Times New Roman"/>
          <w:color w:val="000000"/>
          <w:sz w:val="28"/>
          <w:szCs w:val="28"/>
        </w:rPr>
        <w:t>«Тереньгульский район» от 27.12.2016 №58/93</w:t>
      </w:r>
      <w:r>
        <w:rPr>
          <w:rFonts w:eastAsia="Calibri" w:cs="Times New Roman"/>
          <w:sz w:val="28"/>
          <w:szCs w:val="28"/>
        </w:rPr>
        <w:t xml:space="preserve">. С целью достижения результатов Стратегии принят </w:t>
      </w:r>
      <w:r>
        <w:rPr>
          <w:rFonts w:cs="Times New Roman"/>
          <w:sz w:val="28"/>
          <w:szCs w:val="28"/>
          <w:lang w:eastAsia="ru-RU"/>
        </w:rPr>
        <w:t>План мероприятий по реализации Стратегии социально-экономического развития муниципального образования «Тереньгульский район» до 2030 года</w:t>
      </w:r>
      <w:r>
        <w:rPr>
          <w:rFonts w:eastAsia="Calibri" w:cs="Times New Roman"/>
          <w:sz w:val="28"/>
          <w:szCs w:val="28"/>
        </w:rPr>
        <w:t>.</w:t>
      </w:r>
    </w:p>
    <w:p>
      <w:pPr>
        <w:pStyle w:val="Normal"/>
        <w:widowControl w:val="false"/>
        <w:tabs>
          <w:tab w:val="clear" w:pos="708"/>
          <w:tab w:val="left" w:pos="142" w:leader="none"/>
        </w:tabs>
        <w:ind w:firstLine="709"/>
        <w:jc w:val="both"/>
        <w:rPr>
          <w:rFonts w:eastAsia="Calibri" w:cs="Times New Roman"/>
          <w:sz w:val="28"/>
          <w:szCs w:val="28"/>
        </w:rPr>
      </w:pPr>
      <w:r>
        <w:rPr>
          <w:rFonts w:eastAsia="Calibri" w:cs="Times New Roman"/>
          <w:sz w:val="28"/>
          <w:szCs w:val="28"/>
        </w:rPr>
        <w:t>Во исполнение Федерального закона от 28.06.2014 №172-ФЗ «О стратегическом планировании в Российской Федерации» МО «Тереньгульский район» ежегодно анализирует результаты достижения целевых показателей Стратегий СЭР.</w:t>
      </w:r>
    </w:p>
    <w:p>
      <w:pPr>
        <w:pStyle w:val="Normal"/>
        <w:widowControl w:val="false"/>
        <w:tabs>
          <w:tab w:val="clear" w:pos="708"/>
          <w:tab w:val="left" w:pos="142" w:leader="none"/>
        </w:tabs>
        <w:ind w:firstLine="709"/>
        <w:jc w:val="both"/>
        <w:rPr>
          <w:rFonts w:cs="Times New Roman"/>
          <w:color w:val="000000"/>
          <w:sz w:val="28"/>
          <w:szCs w:val="28"/>
        </w:rPr>
      </w:pPr>
      <w:r>
        <w:rPr>
          <w:rFonts w:cs="Times New Roman"/>
          <w:sz w:val="28"/>
          <w:szCs w:val="28"/>
        </w:rPr>
        <w:t xml:space="preserve">Проведённый анализ отчёта о ходе реализации Стратегии СЭР за 2017 год показал, что Тереньгульский район отнесён к группе с максимальным выполнением утверждённых целевых показателей Стратегии СЭР. В </w:t>
      </w:r>
      <w:r>
        <w:rPr>
          <w:rFonts w:cs="Times New Roman"/>
          <w:color w:val="000000"/>
          <w:sz w:val="28"/>
          <w:szCs w:val="28"/>
        </w:rPr>
        <w:t>целом по Тереньгульскому району целевые показатели Стратегий СЭР выполнены на 88,89%, что соответствует проценту выполнения целевых ориентиров Стратегии социально-экономического развития Ульяновской области.</w:t>
      </w:r>
    </w:p>
    <w:p>
      <w:pPr>
        <w:pStyle w:val="Normal"/>
        <w:widowControl w:val="false"/>
        <w:tabs>
          <w:tab w:val="clear" w:pos="708"/>
          <w:tab w:val="left" w:pos="142" w:leader="none"/>
        </w:tabs>
        <w:ind w:firstLine="709"/>
        <w:jc w:val="both"/>
        <w:rPr>
          <w:rFonts w:cs="Times New Roman"/>
          <w:color w:val="000000"/>
          <w:sz w:val="28"/>
          <w:szCs w:val="28"/>
        </w:rPr>
      </w:pPr>
      <w:r>
        <w:rPr>
          <w:rFonts w:cs="Times New Roman"/>
          <w:color w:val="000000"/>
          <w:sz w:val="28"/>
          <w:szCs w:val="28"/>
        </w:rPr>
        <w:t xml:space="preserve">Данный процент выполнения целевых индикаторов позволил району занять 4 место среди муниципальных образований Ульяновской области. Разница между первым и четвертым местом составила 7,36%. </w:t>
      </w:r>
    </w:p>
    <w:p>
      <w:pPr>
        <w:pStyle w:val="Normal"/>
        <w:widowControl w:val="false"/>
        <w:tabs>
          <w:tab w:val="clear" w:pos="708"/>
          <w:tab w:val="left" w:pos="142" w:leader="none"/>
        </w:tabs>
        <w:ind w:firstLine="709"/>
        <w:jc w:val="both"/>
        <w:rPr>
          <w:rFonts w:cs="Times New Roman"/>
          <w:color w:val="000000"/>
          <w:sz w:val="28"/>
          <w:szCs w:val="28"/>
        </w:rPr>
      </w:pPr>
      <w:r>
        <w:rPr>
          <w:rFonts w:cs="Times New Roman"/>
          <w:color w:val="000000"/>
          <w:sz w:val="28"/>
          <w:szCs w:val="28"/>
        </w:rPr>
        <w:t>Но сразу стоит отметить, что в отчёте о ходе реализации Стратегии СЭР Тереньгульский район отразил всего 18 целевых индикаторов, 16 из них выполнил. А занявшие с 1 по 3 места муниципальные районы старались выполнить от 50 до 80 показателей. Таким образом, лидер по достижению индикаторов выполнил 77 показателей из 80, что значительно затрудняло ему задачу.</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Данная градация говорит о том, как муниципалитет справился с поставленными планами, в какой степени он близок к намеченным целям. </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На выполняемость показателей повлиял тот фактор, какие именно показатели были включены в отчёт по реализации Стратегии СЭР и плановые значения по ним. </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Анализируя показатели Стратегий СЭР, опираясь на разнообразие показателей, стоит обобщить показатели Стратегий СЭР в блоки:</w:t>
      </w:r>
    </w:p>
    <w:p>
      <w:pPr>
        <w:pStyle w:val="NormalWeb"/>
        <w:widowControl w:val="false"/>
        <w:suppressAutoHyphens w:val="true"/>
        <w:spacing w:lineRule="auto" w:line="264" w:beforeAutospacing="0" w:before="0" w:afterAutospacing="0" w:after="0"/>
        <w:ind w:firstLine="709"/>
        <w:jc w:val="both"/>
        <w:rPr>
          <w:color w:val="000000"/>
          <w:sz w:val="28"/>
          <w:szCs w:val="28"/>
        </w:rPr>
      </w:pPr>
      <w:r>
        <w:rPr>
          <w:color w:val="000000"/>
          <w:sz w:val="28"/>
          <w:szCs w:val="28"/>
          <w:u w:val="single"/>
        </w:rPr>
        <w:t>Демографический блок</w:t>
      </w:r>
      <w:r>
        <w:rPr>
          <w:color w:val="000000"/>
          <w:sz w:val="28"/>
          <w:szCs w:val="28"/>
        </w:rPr>
        <w:t xml:space="preserve"> – данный блок включает показатели естественной и миграционной убыли (прибыли), продолжительности жизни;</w:t>
      </w:r>
    </w:p>
    <w:p>
      <w:pPr>
        <w:pStyle w:val="NormalWeb"/>
        <w:widowControl w:val="false"/>
        <w:suppressAutoHyphens w:val="true"/>
        <w:spacing w:lineRule="auto" w:line="264" w:beforeAutospacing="0" w:before="0" w:afterAutospacing="0" w:after="0"/>
        <w:ind w:firstLine="709"/>
        <w:jc w:val="both"/>
        <w:rPr>
          <w:color w:val="000000"/>
          <w:sz w:val="28"/>
          <w:szCs w:val="28"/>
        </w:rPr>
      </w:pPr>
      <w:r>
        <w:rPr>
          <w:color w:val="000000"/>
          <w:sz w:val="28"/>
          <w:szCs w:val="28"/>
          <w:u w:val="single"/>
        </w:rPr>
        <w:t>Блок «Уровень жизни»</w:t>
      </w:r>
      <w:r>
        <w:rPr>
          <w:color w:val="000000"/>
          <w:sz w:val="28"/>
          <w:szCs w:val="28"/>
        </w:rPr>
        <w:t xml:space="preserve"> – данный блок включает показатели безработицы, создания новых рабочих мест, заработной платы. Показатели культуры, образования, занятий физической культурой, уровней удовлетворенности и оценочные показатели;</w:t>
      </w:r>
    </w:p>
    <w:p>
      <w:pPr>
        <w:pStyle w:val="NormalWeb"/>
        <w:widowControl w:val="false"/>
        <w:suppressAutoHyphens w:val="true"/>
        <w:spacing w:lineRule="auto" w:line="264" w:beforeAutospacing="0" w:before="0" w:afterAutospacing="0" w:after="0"/>
        <w:ind w:firstLine="709"/>
        <w:jc w:val="both"/>
        <w:rPr>
          <w:color w:val="000000"/>
          <w:sz w:val="28"/>
          <w:szCs w:val="28"/>
        </w:rPr>
      </w:pPr>
      <w:r>
        <w:rPr>
          <w:color w:val="000000"/>
          <w:sz w:val="28"/>
          <w:szCs w:val="28"/>
          <w:u w:val="single"/>
        </w:rPr>
        <w:t>Блок «Уровень развития экономики»</w:t>
      </w:r>
      <w:r>
        <w:rPr>
          <w:color w:val="000000"/>
          <w:sz w:val="28"/>
          <w:szCs w:val="28"/>
        </w:rPr>
        <w:t xml:space="preserve"> – данный блок включает показатели промышленности, торговли и инвестиций, а также показатели налоговой и бюджетной сферы;</w:t>
      </w:r>
    </w:p>
    <w:p>
      <w:pPr>
        <w:pStyle w:val="NormalWeb"/>
        <w:widowControl w:val="false"/>
        <w:suppressAutoHyphens w:val="true"/>
        <w:spacing w:lineRule="auto" w:line="264" w:beforeAutospacing="0" w:before="0" w:afterAutospacing="0" w:after="0"/>
        <w:ind w:firstLine="709"/>
        <w:jc w:val="both"/>
        <w:rPr>
          <w:color w:val="000000"/>
          <w:sz w:val="28"/>
          <w:szCs w:val="28"/>
        </w:rPr>
      </w:pPr>
      <w:r>
        <w:rPr>
          <w:color w:val="000000"/>
          <w:sz w:val="28"/>
          <w:szCs w:val="28"/>
          <w:u w:val="single"/>
        </w:rPr>
        <w:t xml:space="preserve">Блок «Развитие комфортной среды» </w:t>
      </w:r>
      <w:r>
        <w:rPr>
          <w:color w:val="000000"/>
          <w:sz w:val="28"/>
          <w:szCs w:val="28"/>
        </w:rPr>
        <w:t>– данный блок включает показатели обеспеченности водой и газом, показатели состояния автомобильных дорог и жилья.</w:t>
      </w:r>
    </w:p>
    <w:p>
      <w:pPr>
        <w:pStyle w:val="NormalWeb"/>
        <w:widowControl w:val="false"/>
        <w:suppressAutoHyphens w:val="true"/>
        <w:spacing w:beforeAutospacing="0" w:before="0" w:afterAutospacing="0" w:after="0"/>
        <w:ind w:firstLine="709"/>
        <w:jc w:val="center"/>
        <w:rPr>
          <w:b/>
          <w:b/>
          <w:color w:val="000000"/>
          <w:sz w:val="28"/>
          <w:szCs w:val="28"/>
        </w:rPr>
      </w:pPr>
      <w:r>
        <w:rPr>
          <w:b/>
          <w:color w:val="000000"/>
          <w:sz w:val="28"/>
          <w:szCs w:val="28"/>
        </w:rPr>
        <w:t>Демографический блок.</w:t>
      </w:r>
    </w:p>
    <w:p>
      <w:pPr>
        <w:pStyle w:val="NormalWeb"/>
        <w:widowControl w:val="false"/>
        <w:suppressAutoHyphens w:val="true"/>
        <w:spacing w:beforeAutospacing="0" w:before="0" w:afterAutospacing="0" w:after="0"/>
        <w:ind w:left="709" w:hanging="0"/>
        <w:jc w:val="center"/>
        <w:rPr>
          <w:b/>
          <w:b/>
          <w:color w:val="000000"/>
          <w:sz w:val="28"/>
          <w:szCs w:val="28"/>
        </w:rPr>
      </w:pPr>
      <w:r>
        <w:rPr>
          <w:b/>
          <w:color w:val="000000"/>
          <w:sz w:val="28"/>
          <w:szCs w:val="28"/>
        </w:rPr>
        <w:t xml:space="preserve">Выполнены 2 из 3 показателей </w:t>
      </w:r>
      <w:r>
        <w:rPr>
          <w:color w:val="000000"/>
          <w:sz w:val="28"/>
          <w:szCs w:val="28"/>
        </w:rPr>
        <w:t>–</w:t>
      </w:r>
      <w:r>
        <w:rPr>
          <w:b/>
          <w:color w:val="000000"/>
          <w:sz w:val="28"/>
          <w:szCs w:val="28"/>
        </w:rPr>
        <w:t xml:space="preserve"> 66,7%.</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Показатели данного блока традиционно являются самыми проблемными не только для Ульяновской области, но и Российской Федерации в целом.</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Тереньгульский район выделил 3 основных демографических показателя:</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-уровень рождаемости, человек на 1 тыс. человек населения – 8,7</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-коэффициент естественного прироста в расчете на 1 тыс. населения – </w:t>
        <w:br/>
        <w:t>(-) 5,5</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уровень смертности на 1тыс. человек населения – 14,2</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У района низкие «планки» заявленных стратегических ориентиров, что позволило достигнуть поставленных целей.</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Также району следовало бы включить в отчёт такие показатели как: продолжительность жизни населения, миграционный отток населения.</w:t>
      </w:r>
    </w:p>
    <w:p>
      <w:pPr>
        <w:pStyle w:val="NormalWeb"/>
        <w:widowControl w:val="false"/>
        <w:suppressAutoHyphens w:val="true"/>
        <w:spacing w:lineRule="auto" w:line="264" w:beforeAutospacing="0" w:before="0" w:afterAutospacing="0" w:after="0"/>
        <w:ind w:firstLine="709"/>
        <w:jc w:val="center"/>
        <w:rPr>
          <w:b/>
          <w:b/>
          <w:color w:val="000000"/>
          <w:sz w:val="28"/>
          <w:szCs w:val="28"/>
        </w:rPr>
      </w:pPr>
      <w:r>
        <w:rPr>
          <w:b/>
          <w:color w:val="000000"/>
          <w:sz w:val="28"/>
          <w:szCs w:val="28"/>
        </w:rPr>
        <w:t>Блок «Уровень жизни».</w:t>
      </w:r>
    </w:p>
    <w:p>
      <w:pPr>
        <w:pStyle w:val="NormalWeb"/>
        <w:widowControl w:val="false"/>
        <w:suppressAutoHyphens w:val="true"/>
        <w:spacing w:beforeAutospacing="0" w:before="0" w:afterAutospacing="0" w:after="0"/>
        <w:ind w:left="1069" w:hanging="0"/>
        <w:jc w:val="center"/>
        <w:rPr>
          <w:b/>
          <w:b/>
          <w:color w:val="000000"/>
          <w:sz w:val="28"/>
          <w:szCs w:val="28"/>
        </w:rPr>
      </w:pPr>
      <w:r>
        <w:rPr>
          <w:b/>
          <w:color w:val="000000"/>
          <w:sz w:val="28"/>
          <w:szCs w:val="28"/>
        </w:rPr>
        <w:t>Выполнены 7 из 7 показателя – 100% выполнения.</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Блок «уровень жизни» представлен следующими показателями:</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уровень зарегистрированной безработицы к трудоспособному населению – 0,41%</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среднемесячная заработная плата работников – 19615 руб.</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темп роста среднемесячной заработной платы – 110,8%</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создание рабочих мест – 340 ед.</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общая площадь жилых домов, приходящаяся на 1 жителя на конец года – 28,09 кв. м.</w:t>
      </w:r>
    </w:p>
    <w:p>
      <w:pPr>
        <w:pStyle w:val="Normal"/>
        <w:widowControl w:val="false"/>
        <w:ind w:firstLine="709"/>
        <w:jc w:val="both"/>
        <w:rPr>
          <w:rFonts w:cs="Times New Roman"/>
          <w:color w:val="000000"/>
          <w:sz w:val="28"/>
          <w:szCs w:val="28"/>
        </w:rPr>
      </w:pPr>
      <w:r>
        <w:rPr>
          <w:rFonts w:cs="Times New Roman"/>
          <w:color w:val="000000"/>
          <w:sz w:val="28"/>
          <w:szCs w:val="28"/>
        </w:rPr>
        <w:t>- индекс физического объёма оборота розничной торговли – 104,4%</w:t>
      </w:r>
    </w:p>
    <w:p>
      <w:pPr>
        <w:pStyle w:val="Normal"/>
        <w:widowControl w:val="false"/>
        <w:ind w:firstLine="709"/>
        <w:jc w:val="both"/>
        <w:rPr>
          <w:rFonts w:cs="Times New Roman"/>
          <w:color w:val="000000"/>
          <w:sz w:val="28"/>
          <w:szCs w:val="28"/>
        </w:rPr>
      </w:pPr>
      <w:r>
        <w:rPr>
          <w:rFonts w:cs="Times New Roman"/>
          <w:color w:val="000000"/>
          <w:sz w:val="28"/>
          <w:szCs w:val="28"/>
        </w:rPr>
        <w:t>- индекс физического объёма оборота общественного питания – рост в 4,3 раза</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Тереньгульский район по итогам 2017 года занял 12 место по блоку «доходы населения», по показателю «темпы роста оборота розничной торговли» - 19 место среди муниципальных районов Ульяновской области, при этом установленные плановые значения на 2017 год районом выполнены. </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Это ещё раз констатирует «лояльность» стратегических целей и индикаторов. </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Также хотелось бы видеть в отчёте показатель – численность населения с денежными доходами ниже прожиточного минимума, объём НДФЛ, поступивший в бюджет муниципалитета. </w:t>
      </w:r>
    </w:p>
    <w:p>
      <w:pPr>
        <w:pStyle w:val="Normal"/>
        <w:widowControl w:val="false"/>
        <w:jc w:val="center"/>
        <w:rPr>
          <w:rFonts w:cs="Times New Roman"/>
          <w:b/>
          <w:b/>
          <w:color w:val="000000"/>
          <w:sz w:val="28"/>
          <w:szCs w:val="28"/>
        </w:rPr>
      </w:pPr>
      <w:r>
        <w:rPr>
          <w:rFonts w:cs="Times New Roman"/>
          <w:b/>
          <w:color w:val="000000"/>
          <w:sz w:val="28"/>
          <w:szCs w:val="28"/>
        </w:rPr>
        <w:t>Блок «Уровень развития экономики»</w:t>
      </w:r>
    </w:p>
    <w:p>
      <w:pPr>
        <w:pStyle w:val="Normal"/>
        <w:widowControl w:val="false"/>
        <w:jc w:val="center"/>
        <w:rPr>
          <w:rFonts w:cs="Times New Roman"/>
          <w:b/>
          <w:b/>
          <w:color w:val="000000"/>
          <w:sz w:val="28"/>
          <w:szCs w:val="28"/>
        </w:rPr>
      </w:pPr>
      <w:r>
        <w:rPr>
          <w:rFonts w:cs="Times New Roman"/>
          <w:b/>
          <w:color w:val="000000"/>
          <w:sz w:val="28"/>
          <w:szCs w:val="28"/>
        </w:rPr>
        <w:t xml:space="preserve">Выполнены 5 из 6 показателей – </w:t>
      </w:r>
      <w:r>
        <w:rPr>
          <w:rFonts w:cs="Times New Roman"/>
          <w:b/>
          <w:sz w:val="28"/>
          <w:szCs w:val="28"/>
        </w:rPr>
        <w:t>83,3%.</w:t>
      </w:r>
    </w:p>
    <w:p>
      <w:pPr>
        <w:pStyle w:val="Normal"/>
        <w:widowControl w:val="false"/>
        <w:ind w:firstLine="709"/>
        <w:jc w:val="both"/>
        <w:rPr>
          <w:rFonts w:cs="Times New Roman"/>
          <w:color w:val="000000"/>
          <w:sz w:val="28"/>
          <w:szCs w:val="28"/>
        </w:rPr>
      </w:pPr>
      <w:r>
        <w:rPr>
          <w:rFonts w:cs="Times New Roman"/>
          <w:color w:val="000000"/>
          <w:sz w:val="28"/>
          <w:szCs w:val="28"/>
        </w:rPr>
        <w:t>Данный блок в отчёте Тереньгульского района представлен следующими показателями:</w:t>
      </w:r>
    </w:p>
    <w:p>
      <w:pPr>
        <w:pStyle w:val="Normal"/>
        <w:widowControl w:val="false"/>
        <w:ind w:firstLine="709"/>
        <w:jc w:val="both"/>
        <w:rPr>
          <w:rFonts w:cs="Times New Roman"/>
          <w:color w:val="000000"/>
          <w:sz w:val="28"/>
          <w:szCs w:val="28"/>
        </w:rPr>
      </w:pPr>
      <w:r>
        <w:rPr>
          <w:rFonts w:cs="Times New Roman"/>
          <w:color w:val="000000"/>
          <w:sz w:val="28"/>
          <w:szCs w:val="28"/>
        </w:rPr>
        <w:t>- объём отгруженных товаров собственного производства, работ и услуг. Выполненных собственными силами по крупным и средним предприятиям – 701 млн.руб.</w:t>
      </w:r>
    </w:p>
    <w:p>
      <w:pPr>
        <w:pStyle w:val="Normal"/>
        <w:widowControl w:val="false"/>
        <w:ind w:firstLine="709"/>
        <w:jc w:val="both"/>
        <w:rPr>
          <w:rFonts w:cs="Times New Roman"/>
          <w:color w:val="000000"/>
          <w:sz w:val="28"/>
          <w:szCs w:val="28"/>
        </w:rPr>
      </w:pPr>
      <w:r>
        <w:rPr>
          <w:rFonts w:cs="Times New Roman"/>
          <w:color w:val="000000"/>
          <w:sz w:val="28"/>
          <w:szCs w:val="28"/>
        </w:rPr>
        <w:t>- среднесписочная численность работников малых и средних предприятий – 0,9 тыс.чел.</w:t>
      </w:r>
    </w:p>
    <w:p>
      <w:pPr>
        <w:pStyle w:val="Normal"/>
        <w:widowControl w:val="false"/>
        <w:ind w:firstLine="709"/>
        <w:jc w:val="both"/>
        <w:rPr>
          <w:rFonts w:cs="Times New Roman"/>
          <w:color w:val="000000"/>
          <w:sz w:val="28"/>
          <w:szCs w:val="28"/>
        </w:rPr>
      </w:pPr>
      <w:r>
        <w:rPr>
          <w:rFonts w:cs="Times New Roman"/>
          <w:color w:val="000000"/>
          <w:sz w:val="28"/>
          <w:szCs w:val="28"/>
        </w:rPr>
        <w:t>- индекс физического объёма продукции сельского хозяйства в хозяйствах всех категорий – 106,8%</w:t>
      </w:r>
    </w:p>
    <w:p>
      <w:pPr>
        <w:pStyle w:val="Normal"/>
        <w:widowControl w:val="false"/>
        <w:ind w:firstLine="709"/>
        <w:jc w:val="both"/>
        <w:rPr>
          <w:rFonts w:cs="Times New Roman"/>
          <w:color w:val="000000"/>
          <w:sz w:val="28"/>
          <w:szCs w:val="28"/>
        </w:rPr>
      </w:pPr>
      <w:r>
        <w:rPr>
          <w:rFonts w:cs="Times New Roman"/>
          <w:color w:val="000000"/>
          <w:sz w:val="28"/>
          <w:szCs w:val="28"/>
        </w:rPr>
        <w:t>- индекс физического объёма инвестиций в основной капитал – рост в 5,2 раза</w:t>
      </w:r>
    </w:p>
    <w:p>
      <w:pPr>
        <w:pStyle w:val="Normal"/>
        <w:widowControl w:val="false"/>
        <w:ind w:firstLine="709"/>
        <w:jc w:val="both"/>
        <w:rPr>
          <w:rFonts w:cs="Times New Roman"/>
          <w:color w:val="000000"/>
          <w:sz w:val="28"/>
          <w:szCs w:val="28"/>
        </w:rPr>
      </w:pPr>
      <w:r>
        <w:rPr>
          <w:rFonts w:cs="Times New Roman"/>
          <w:color w:val="000000"/>
          <w:sz w:val="28"/>
          <w:szCs w:val="28"/>
        </w:rPr>
        <w:t>- собственные налоговые и неналоговые доходы МО – 62,4 млн. руб.</w:t>
      </w:r>
    </w:p>
    <w:p>
      <w:pPr>
        <w:pStyle w:val="Normal"/>
        <w:widowControl w:val="false"/>
        <w:ind w:firstLine="709"/>
        <w:jc w:val="both"/>
        <w:rPr>
          <w:rFonts w:cs="Times New Roman"/>
          <w:color w:val="000000"/>
          <w:sz w:val="28"/>
          <w:szCs w:val="28"/>
        </w:rPr>
      </w:pPr>
      <w:r>
        <w:rPr>
          <w:rFonts w:cs="Times New Roman"/>
          <w:color w:val="000000"/>
          <w:sz w:val="28"/>
          <w:szCs w:val="28"/>
        </w:rPr>
        <w:t>- рост налоговых и неналоговых доходов местного бюджета – 103,4%</w:t>
      </w:r>
    </w:p>
    <w:p>
      <w:pPr>
        <w:pStyle w:val="Normal"/>
        <w:widowControl w:val="false"/>
        <w:ind w:firstLine="709"/>
        <w:jc w:val="both"/>
        <w:rPr>
          <w:rFonts w:cs="Times New Roman"/>
          <w:color w:val="000000"/>
          <w:sz w:val="28"/>
          <w:szCs w:val="28"/>
        </w:rPr>
      </w:pPr>
      <w:r>
        <w:rPr>
          <w:rFonts w:cs="Times New Roman"/>
          <w:color w:val="000000"/>
          <w:sz w:val="28"/>
          <w:szCs w:val="28"/>
        </w:rPr>
        <w:t>Среди показателей, описанных в отчёте реализации Стратегии по блоку «уровень развития экономики», нет ни одного подушевого показателя, которые используют при сравнении районов и городских округов в рейтингах, оценивающих уровень социально-экономического развития муниципалитетов или качества жизни.</w:t>
      </w:r>
    </w:p>
    <w:p>
      <w:pPr>
        <w:pStyle w:val="Normal"/>
        <w:widowControl w:val="false"/>
        <w:jc w:val="center"/>
        <w:rPr>
          <w:rFonts w:cs="Times New Roman"/>
          <w:b/>
          <w:b/>
          <w:color w:val="000000"/>
          <w:sz w:val="28"/>
          <w:szCs w:val="28"/>
        </w:rPr>
      </w:pPr>
      <w:r>
        <w:rPr>
          <w:rFonts w:cs="Times New Roman"/>
          <w:b/>
          <w:color w:val="000000"/>
          <w:sz w:val="28"/>
          <w:szCs w:val="28"/>
        </w:rPr>
        <w:t>Блок «Развития комфортной среды».</w:t>
      </w:r>
    </w:p>
    <w:p>
      <w:pPr>
        <w:pStyle w:val="Normal"/>
        <w:widowControl w:val="false"/>
        <w:jc w:val="center"/>
        <w:rPr>
          <w:rFonts w:cs="Times New Roman"/>
          <w:b/>
          <w:b/>
          <w:color w:val="000000"/>
          <w:sz w:val="28"/>
          <w:szCs w:val="28"/>
        </w:rPr>
      </w:pPr>
      <w:r>
        <w:rPr>
          <w:rFonts w:cs="Times New Roman"/>
          <w:b/>
          <w:color w:val="000000"/>
          <w:sz w:val="28"/>
          <w:szCs w:val="28"/>
        </w:rPr>
        <w:t>Выполнены 2 из 2 показателей – 100%.</w:t>
      </w:r>
    </w:p>
    <w:p>
      <w:pPr>
        <w:pStyle w:val="Normal"/>
        <w:widowControl w:val="false"/>
        <w:ind w:firstLine="709"/>
        <w:jc w:val="both"/>
        <w:rPr>
          <w:rFonts w:cs="Times New Roman"/>
          <w:color w:val="000000"/>
          <w:sz w:val="28"/>
          <w:szCs w:val="28"/>
        </w:rPr>
      </w:pPr>
      <w:r>
        <w:rPr>
          <w:rFonts w:cs="Times New Roman"/>
          <w:color w:val="000000"/>
          <w:sz w:val="28"/>
          <w:szCs w:val="28"/>
        </w:rPr>
        <w:t>Данный блок в отчёте Тереньгульского района представлен следующими показателями:</w:t>
      </w:r>
    </w:p>
    <w:p>
      <w:pPr>
        <w:pStyle w:val="Normal"/>
        <w:widowControl w:val="false"/>
        <w:ind w:firstLine="709"/>
        <w:jc w:val="both"/>
        <w:rPr>
          <w:rFonts w:cs="Times New Roman"/>
          <w:color w:val="000000"/>
          <w:sz w:val="28"/>
          <w:szCs w:val="28"/>
        </w:rPr>
      </w:pPr>
      <w:r>
        <w:rPr>
          <w:rFonts w:cs="Times New Roman"/>
          <w:color w:val="000000"/>
          <w:sz w:val="28"/>
          <w:szCs w:val="28"/>
        </w:rPr>
        <w:t>- ввод общей площади жилых домов – 14,7 тыс. кв. м</w:t>
      </w:r>
    </w:p>
    <w:p>
      <w:pPr>
        <w:pStyle w:val="Normal"/>
        <w:widowControl w:val="false"/>
        <w:ind w:firstLine="709"/>
        <w:jc w:val="both"/>
        <w:rPr>
          <w:rFonts w:cs="Times New Roman"/>
          <w:color w:val="000000"/>
          <w:sz w:val="28"/>
          <w:szCs w:val="28"/>
        </w:rPr>
      </w:pPr>
      <w:r>
        <w:rPr>
          <w:rFonts w:cs="Times New Roman"/>
          <w:color w:val="000000"/>
          <w:sz w:val="28"/>
          <w:szCs w:val="28"/>
        </w:rPr>
        <w:t>-жилищный фонд на конец года всего – 496,1 тыс. кв. м</w:t>
      </w:r>
    </w:p>
    <w:p>
      <w:pPr>
        <w:pStyle w:val="Normal"/>
        <w:widowControl w:val="false"/>
        <w:ind w:firstLine="709"/>
        <w:jc w:val="both"/>
        <w:rPr>
          <w:rFonts w:cs="Times New Roman"/>
          <w:sz w:val="28"/>
          <w:szCs w:val="28"/>
        </w:rPr>
      </w:pPr>
      <w:r>
        <w:rPr>
          <w:rFonts w:cs="Times New Roman"/>
          <w:color w:val="000000"/>
          <w:sz w:val="28"/>
          <w:szCs w:val="28"/>
        </w:rPr>
        <w:t xml:space="preserve">Выбор показателей для блока «развития комфортной среды» не отражает реальной картины. Не включены в стратегические приоритеты: уровень обеспеченности жилищного фонда газом, водоснабжением, канализацией, отоплением, уровень озеленения, качество дорог, освещенность улиц и т.д., и соответственно отсутствует их влияние.  </w:t>
      </w:r>
    </w:p>
    <w:p>
      <w:pPr>
        <w:pStyle w:val="Normal"/>
        <w:widowControl w:val="false"/>
        <w:tabs>
          <w:tab w:val="clear" w:pos="708"/>
          <w:tab w:val="left" w:pos="709" w:leader="none"/>
          <w:tab w:val="left" w:pos="993" w:leader="none"/>
        </w:tabs>
        <w:ind w:firstLine="709"/>
        <w:jc w:val="both"/>
        <w:rPr>
          <w:rFonts w:cs="Times New Roman"/>
          <w:color w:val="000000"/>
          <w:sz w:val="28"/>
          <w:szCs w:val="28"/>
        </w:rPr>
      </w:pPr>
      <w:r>
        <w:rPr>
          <w:rFonts w:cs="Times New Roman"/>
          <w:color w:val="000000"/>
          <w:sz w:val="28"/>
          <w:szCs w:val="28"/>
        </w:rPr>
        <w:t>Исходя из вышеизложенного можно сделать следующие выводы:</w:t>
      </w:r>
    </w:p>
    <w:p>
      <w:pPr>
        <w:pStyle w:val="ListParagraph"/>
        <w:widowControl w:val="false"/>
        <w:numPr>
          <w:ilvl w:val="0"/>
          <w:numId w:val="59"/>
        </w:numPr>
        <w:tabs>
          <w:tab w:val="clear" w:pos="708"/>
          <w:tab w:val="left" w:pos="709" w:leader="none"/>
          <w:tab w:val="left" w:pos="993" w:leader="none"/>
        </w:tabs>
        <w:ind w:left="0" w:firstLine="709"/>
        <w:jc w:val="both"/>
        <w:rPr>
          <w:rFonts w:cs="Times New Roman"/>
          <w:color w:val="000000"/>
          <w:sz w:val="28"/>
          <w:szCs w:val="28"/>
        </w:rPr>
      </w:pPr>
      <w:r>
        <w:rPr>
          <w:rFonts w:cs="Times New Roman"/>
          <w:color w:val="000000"/>
          <w:sz w:val="28"/>
          <w:szCs w:val="28"/>
        </w:rPr>
        <w:t xml:space="preserve">Показатели, отражённые в отчёте о ходе реализации Стратегии СЭР Тереньгульского района в том виде, в котором они на данный момент представлены – по условным блокам: Демография, Уровень жизни, Уровень развития экономики и Комфортной среды – реализованы не в полной мере. </w:t>
      </w:r>
    </w:p>
    <w:p>
      <w:pPr>
        <w:pStyle w:val="ListParagraph"/>
        <w:widowControl w:val="false"/>
        <w:numPr>
          <w:ilvl w:val="0"/>
          <w:numId w:val="59"/>
        </w:numPr>
        <w:tabs>
          <w:tab w:val="clear" w:pos="708"/>
          <w:tab w:val="left" w:pos="709" w:leader="none"/>
          <w:tab w:val="left" w:pos="993" w:leader="none"/>
        </w:tabs>
        <w:ind w:left="0" w:firstLine="709"/>
        <w:jc w:val="both"/>
        <w:rPr>
          <w:rFonts w:cs="Times New Roman"/>
          <w:color w:val="000000"/>
          <w:sz w:val="28"/>
          <w:szCs w:val="28"/>
        </w:rPr>
      </w:pPr>
      <w:r>
        <w:rPr>
          <w:rFonts w:cs="Times New Roman"/>
          <w:color w:val="000000"/>
          <w:sz w:val="28"/>
          <w:szCs w:val="28"/>
        </w:rPr>
        <w:t>По данным представленным в отчёте не полностью выполняются показатели блоков Демография и Уровень развития экономики.</w:t>
      </w:r>
    </w:p>
    <w:p>
      <w:pPr>
        <w:pStyle w:val="ListParagraph"/>
        <w:widowControl w:val="false"/>
        <w:numPr>
          <w:ilvl w:val="0"/>
          <w:numId w:val="59"/>
        </w:numPr>
        <w:tabs>
          <w:tab w:val="clear" w:pos="708"/>
          <w:tab w:val="left" w:pos="709" w:leader="none"/>
          <w:tab w:val="left" w:pos="993" w:leader="none"/>
        </w:tabs>
        <w:ind w:left="0" w:firstLine="709"/>
        <w:jc w:val="both"/>
        <w:rPr>
          <w:rFonts w:cs="Times New Roman"/>
          <w:color w:val="000000"/>
          <w:sz w:val="28"/>
          <w:szCs w:val="28"/>
        </w:rPr>
      </w:pPr>
      <w:r>
        <w:rPr>
          <w:rFonts w:cs="Times New Roman"/>
          <w:color w:val="000000"/>
          <w:sz w:val="28"/>
          <w:szCs w:val="28"/>
        </w:rPr>
        <w:t>Ряд показателей в Стратегии СЭР имеет весьма «лояльные» значения, либо «проблемные» показатели отсутствуют.</w:t>
      </w:r>
    </w:p>
    <w:p>
      <w:pPr>
        <w:pStyle w:val="ListParagraph"/>
        <w:widowControl w:val="false"/>
        <w:numPr>
          <w:ilvl w:val="0"/>
          <w:numId w:val="59"/>
        </w:numPr>
        <w:tabs>
          <w:tab w:val="clear" w:pos="708"/>
          <w:tab w:val="left" w:pos="709" w:leader="none"/>
          <w:tab w:val="left" w:pos="993" w:leader="none"/>
        </w:tabs>
        <w:ind w:left="0" w:firstLine="709"/>
        <w:jc w:val="both"/>
        <w:rPr>
          <w:rFonts w:cs="Times New Roman"/>
          <w:color w:val="000000"/>
          <w:sz w:val="28"/>
          <w:szCs w:val="28"/>
        </w:rPr>
      </w:pPr>
      <w:r>
        <w:rPr>
          <w:rFonts w:cs="Times New Roman"/>
          <w:color w:val="000000"/>
          <w:sz w:val="28"/>
          <w:szCs w:val="28"/>
        </w:rPr>
        <w:t xml:space="preserve">Недостаточный объём или отсутствие показателей по ключевым направлениям Стратегий СЭР </w:t>
      </w:r>
    </w:p>
    <w:p>
      <w:pPr>
        <w:pStyle w:val="Normal"/>
        <w:suppressAutoHyphens w:val="false"/>
        <w:spacing w:lineRule="auto" w:line="276" w:before="0" w:after="200"/>
        <w:rPr/>
      </w:pPr>
      <w:r>
        <w:rPr/>
      </w:r>
    </w:p>
    <w:sectPr>
      <w:headerReference w:type="default" r:id="rId42"/>
      <w:type w:val="nextPage"/>
      <w:pgSz w:w="11906" w:h="16838"/>
      <w:pgMar w:left="1701" w:right="567"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 w:name="Symbol">
    <w:charset w:val="01"/>
    <w:family w:val="roman"/>
    <w:pitch w:val="variable"/>
  </w:font>
  <w:font w:name="Tinos">
    <w:charset w:val="01"/>
    <w:family w:val="roman"/>
    <w:pitch w:val="variable"/>
  </w:font>
  <w:font w:name="Calibri">
    <w:charset w:val="01"/>
    <w:family w:val="auto"/>
    <w:pitch w:val="default"/>
  </w:font>
  <w:font w:name="yandex-sans">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90320226"/>
    </w:sdtPr>
    <w:sdtContent>
      <w:p>
        <w:pPr>
          <w:pStyle w:val="Style27"/>
          <w:jc w:val="center"/>
          <w:rPr/>
        </w:pPr>
        <w:r>
          <w:rPr/>
          <w:fldChar w:fldCharType="begin"/>
        </w:r>
        <w:r>
          <w:rPr/>
          <w:instrText> PAGE </w:instrText>
        </w:r>
        <w:r>
          <w:rPr/>
          <w:fldChar w:fldCharType="separate"/>
        </w:r>
        <w:r>
          <w:rPr/>
          <w:t>2</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07939774"/>
    </w:sdtPr>
    <w:sdtContent>
      <w:p>
        <w:pPr>
          <w:pStyle w:val="Style27"/>
          <w:jc w:val="center"/>
          <w:rPr/>
        </w:pPr>
        <w:r>
          <w:rPr/>
          <w:fldChar w:fldCharType="begin"/>
        </w:r>
        <w:r>
          <w:rPr/>
          <w:instrText> PAGE </w:instrText>
        </w:r>
        <w:r>
          <w:rPr/>
          <w:fldChar w:fldCharType="separate"/>
        </w:r>
        <w:r>
          <w:rPr/>
          <w:t>2</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88584300"/>
    </w:sdtPr>
    <w:sdtContent>
      <w:p>
        <w:pPr>
          <w:pStyle w:val="Style27"/>
          <w:jc w:val="center"/>
          <w:rPr/>
        </w:pPr>
        <w:r>
          <w:rPr/>
          <w:fldChar w:fldCharType="begin"/>
        </w:r>
        <w:r>
          <w:rPr/>
          <w:instrText> PAGE </w:instrText>
        </w:r>
        <w:r>
          <w:rPr/>
          <w:fldChar w:fldCharType="separate"/>
        </w:r>
        <w:r>
          <w:rPr/>
          <w:t>107</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39280456"/>
    </w:sdtPr>
    <w:sdtContent>
      <w:p>
        <w:pPr>
          <w:pStyle w:val="Style27"/>
          <w:jc w:val="center"/>
          <w:rPr/>
        </w:pPr>
        <w:r>
          <w:rPr/>
          <w:fldChar w:fldCharType="begin"/>
        </w:r>
        <w:r>
          <w:rPr/>
          <w:instrText> PAGE </w:instrText>
        </w:r>
        <w:r>
          <w:rPr/>
          <w:fldChar w:fldCharType="separate"/>
        </w:r>
        <w:r>
          <w:rPr/>
          <w:t>127</w:t>
        </w:r>
        <w:r>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54849690"/>
    </w:sdtPr>
    <w:sdtContent>
      <w:p>
        <w:pPr>
          <w:pStyle w:val="Style27"/>
          <w:jc w:val="center"/>
          <w:rPr/>
        </w:pPr>
        <w:r>
          <w:rPr/>
          <w:fldChar w:fldCharType="begin"/>
        </w:r>
        <w:r>
          <w:rPr/>
          <w:instrText> PAGE </w:instrText>
        </w:r>
        <w:r>
          <w:rPr/>
          <w:fldChar w:fldCharType="separate"/>
        </w:r>
        <w:r>
          <w:rPr/>
          <w:t>134</w:t>
        </w:r>
        <w:r>
          <w:rP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58192730"/>
    </w:sdtPr>
    <w:sdtContent>
      <w:p>
        <w:pPr>
          <w:pStyle w:val="Style27"/>
          <w:jc w:val="center"/>
          <w:rPr/>
        </w:pPr>
        <w:r>
          <w:rPr/>
          <w:fldChar w:fldCharType="begin"/>
        </w:r>
        <w:r>
          <w:rPr/>
          <w:instrText> PAGE </w:instrText>
        </w:r>
        <w:r>
          <w:rPr/>
          <w:fldChar w:fldCharType="separate"/>
        </w:r>
        <w:r>
          <w:rPr/>
          <w:t>137</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26" w:hanging="360"/>
      </w:pPr>
      <w:rPr>
        <w:rFonts w:ascii="Wingdings" w:hAnsi="Wingdings" w:cs="Wingdings" w:hint="default"/>
        <w:b/>
        <w:rFonts w:cs="Wingdings"/>
      </w:rPr>
    </w:lvl>
    <w:lvl w:ilvl="1">
      <w:start w:val="1"/>
      <w:numFmt w:val="bullet"/>
      <w:lvlText w:val="o"/>
      <w:lvlJc w:val="left"/>
      <w:pPr>
        <w:ind w:left="1746" w:hanging="360"/>
      </w:pPr>
      <w:rPr>
        <w:rFonts w:ascii="Courier New" w:hAnsi="Courier New" w:cs="Courier New" w:hint="default"/>
        <w:rFonts w:cs="Courier New"/>
      </w:rPr>
    </w:lvl>
    <w:lvl w:ilvl="2">
      <w:start w:val="1"/>
      <w:numFmt w:val="bullet"/>
      <w:lvlText w:val=""/>
      <w:lvlJc w:val="left"/>
      <w:pPr>
        <w:ind w:left="2466" w:hanging="360"/>
      </w:pPr>
      <w:rPr>
        <w:rFonts w:ascii="Wingdings" w:hAnsi="Wingdings" w:cs="Wingdings" w:hint="default"/>
        <w:rFonts w:cs="Wingdings"/>
      </w:rPr>
    </w:lvl>
    <w:lvl w:ilvl="3">
      <w:start w:val="1"/>
      <w:numFmt w:val="bullet"/>
      <w:lvlText w:val=""/>
      <w:lvlJc w:val="left"/>
      <w:pPr>
        <w:ind w:left="3186" w:hanging="360"/>
      </w:pPr>
      <w:rPr>
        <w:rFonts w:ascii="Symbol" w:hAnsi="Symbol" w:cs="Symbol" w:hint="default"/>
        <w:rFonts w:cs="Symbol"/>
      </w:rPr>
    </w:lvl>
    <w:lvl w:ilvl="4">
      <w:start w:val="1"/>
      <w:numFmt w:val="bullet"/>
      <w:lvlText w:val="o"/>
      <w:lvlJc w:val="left"/>
      <w:pPr>
        <w:ind w:left="3906" w:hanging="360"/>
      </w:pPr>
      <w:rPr>
        <w:rFonts w:ascii="Courier New" w:hAnsi="Courier New" w:cs="Courier New" w:hint="default"/>
        <w:rFonts w:cs="Courier New"/>
      </w:rPr>
    </w:lvl>
    <w:lvl w:ilvl="5">
      <w:start w:val="1"/>
      <w:numFmt w:val="bullet"/>
      <w:lvlText w:val=""/>
      <w:lvlJc w:val="left"/>
      <w:pPr>
        <w:ind w:left="4626" w:hanging="360"/>
      </w:pPr>
      <w:rPr>
        <w:rFonts w:ascii="Wingdings" w:hAnsi="Wingdings" w:cs="Wingdings" w:hint="default"/>
        <w:rFonts w:cs="Wingdings"/>
      </w:rPr>
    </w:lvl>
    <w:lvl w:ilvl="6">
      <w:start w:val="1"/>
      <w:numFmt w:val="bullet"/>
      <w:lvlText w:val=""/>
      <w:lvlJc w:val="left"/>
      <w:pPr>
        <w:ind w:left="5346" w:hanging="360"/>
      </w:pPr>
      <w:rPr>
        <w:rFonts w:ascii="Symbol" w:hAnsi="Symbol" w:cs="Symbol" w:hint="default"/>
        <w:rFonts w:cs="Symbol"/>
      </w:rPr>
    </w:lvl>
    <w:lvl w:ilvl="7">
      <w:start w:val="1"/>
      <w:numFmt w:val="bullet"/>
      <w:lvlText w:val="o"/>
      <w:lvlJc w:val="left"/>
      <w:pPr>
        <w:ind w:left="6066" w:hanging="360"/>
      </w:pPr>
      <w:rPr>
        <w:rFonts w:ascii="Courier New" w:hAnsi="Courier New" w:cs="Courier New" w:hint="default"/>
        <w:rFonts w:cs="Courier New"/>
      </w:rPr>
    </w:lvl>
    <w:lvl w:ilvl="8">
      <w:start w:val="1"/>
      <w:numFmt w:val="bullet"/>
      <w:lvlText w:val=""/>
      <w:lvlJc w:val="left"/>
      <w:pPr>
        <w:ind w:left="6786"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decimal"/>
      <w:suff w:val="space"/>
      <w:lvlText w:val="%1."/>
      <w:lvlJc w:val="left"/>
      <w:pPr>
        <w:ind w:left="0" w:firstLine="70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8">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4">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7">
    <w:lvl w:ilvl="0">
      <w:start w:val="1"/>
      <w:numFmt w:val="decimal"/>
      <w:suff w:val="space"/>
      <w:lvlText w:val="%1."/>
      <w:lvlJc w:val="left"/>
      <w:pPr>
        <w:ind w:left="0" w:firstLine="709"/>
      </w:pPr>
    </w:lvl>
    <w:lvl w:ilvl="1">
      <w:start w:val="1"/>
      <w:numFmt w:val="decimal"/>
      <w:lvlText w:val="%1.%2."/>
      <w:lvlJc w:val="left"/>
      <w:pPr>
        <w:ind w:left="1429" w:hanging="720"/>
      </w:pPr>
    </w:lvl>
    <w:lvl w:ilvl="2">
      <w:start w:val="2"/>
      <w:numFmt w:val="decimal"/>
      <w:suff w:val="space"/>
      <w:lvlText w:val="%1.%2.%3."/>
      <w:lvlJc w:val="left"/>
      <w:pPr>
        <w:ind w:left="0" w:hanging="0"/>
      </w:pPr>
      <w:rPr>
        <w:b/>
      </w:r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8">
    <w:lvl w:ilvl="0">
      <w:start w:val="1"/>
      <w:numFmt w:val="decimal"/>
      <w:suff w:val="space"/>
      <w:lvlText w:val="%1."/>
      <w:lvlJc w:val="left"/>
      <w:pPr>
        <w:ind w:left="0" w:firstLine="709"/>
      </w:pPr>
      <w:rPr>
        <w:sz w:val="28"/>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0">
    <w:lvl w:ilvl="0">
      <w:start w:val="1"/>
      <w:numFmt w:val="bullet"/>
      <w:lvlText w:val=""/>
      <w:lvlJc w:val="left"/>
      <w:pPr>
        <w:ind w:left="720" w:hanging="360"/>
      </w:pPr>
      <w:rPr>
        <w:rFonts w:ascii="Wingdings" w:hAnsi="Wingdings" w:cs="Wingdings" w:hint="default"/>
        <w:sz w:val="28"/>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1">
    <w:lvl w:ilvl="0">
      <w:start w:val="1"/>
      <w:numFmt w:val="bullet"/>
      <w:lvlText w:val=""/>
      <w:lvlJc w:val="left"/>
      <w:pPr>
        <w:ind w:left="720" w:hanging="360"/>
      </w:pPr>
      <w:rPr>
        <w:rFonts w:ascii="Wingdings" w:hAnsi="Wingdings" w:cs="Wingdings" w:hint="default"/>
        <w:sz w:val="28"/>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4">
    <w:lvl w:ilvl="0">
      <w:start w:val="1"/>
      <w:numFmt w:val="decimal"/>
      <w:lvlText w:val="%1."/>
      <w:lvlJc w:val="left"/>
      <w:pPr>
        <w:ind w:left="1056" w:hanging="630"/>
      </w:pPr>
      <w:rPr>
        <w:sz w:val="28"/>
        <w:b/>
        <w:rFonts w:ascii="Times New Roman" w:hAnsi="Times New Roman"/>
      </w:rPr>
    </w:lvl>
    <w:lvl w:ilvl="1">
      <w:start w:val="3"/>
      <w:numFmt w:val="decimal"/>
      <w:lvlText w:val="%1.%2."/>
      <w:lvlJc w:val="left"/>
      <w:pPr>
        <w:ind w:left="1146" w:hanging="720"/>
      </w:pPr>
    </w:lvl>
    <w:lvl w:ilvl="2">
      <w:start w:val="2"/>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4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7">
    <w:lvl w:ilvl="0">
      <w:start w:val="1"/>
      <w:numFmt w:val="decimal"/>
      <w:lvlText w:val="%1."/>
      <w:lvlJc w:val="left"/>
      <w:pPr>
        <w:ind w:left="612" w:hanging="360"/>
      </w:pPr>
      <w:rPr>
        <w:b/>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4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lvl w:ilvl="0">
      <w:start w:val="1"/>
      <w:numFmt w:val="decimal"/>
      <w:lvlText w:val="%1."/>
      <w:lvlJc w:val="left"/>
      <w:pPr>
        <w:ind w:left="720" w:hanging="360"/>
      </w:pPr>
      <w:rPr>
        <w:sz w:val="20"/>
        <w:rFonts w:eastAsia="Times New Roman" w:cs="Times New Roman"/>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lvl w:ilvl="0">
      <w:start w:val="1"/>
      <w:numFmt w:val="decimal"/>
      <w:lvlText w:val="%1."/>
      <w:lvlJc w:val="left"/>
      <w:pPr>
        <w:ind w:left="720" w:hanging="360"/>
      </w:pPr>
      <w:rPr>
        <w:sz w:val="20"/>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lvl w:ilvl="0">
      <w:start w:val="1"/>
      <w:numFmt w:val="decimal"/>
      <w:suff w:val="space"/>
      <w:lvlText w:val="%1."/>
      <w:lvlJc w:val="left"/>
      <w:pPr>
        <w:ind w:left="0" w:firstLine="70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7">
    <w:lvl w:ilvl="0">
      <w:start w:val="1"/>
      <w:numFmt w:val="decimal"/>
      <w:suff w:val="space"/>
      <w:lvlText w:val="%1)"/>
      <w:lvlJc w:val="left"/>
      <w:pPr>
        <w:ind w:left="0" w:firstLine="709"/>
      </w:p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58">
    <w:lvl w:ilvl="0">
      <w:start w:val="2"/>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59">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w="http://schemas.openxmlformats.org/wordprocessingml/2006/main">
  <w:zoom w:percent="6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0e13"/>
    <w:pPr>
      <w:widowControl/>
      <w:suppressAutoHyphens w:val="true"/>
      <w:bidi w:val="0"/>
      <w:spacing w:lineRule="auto" w:line="240" w:before="0" w:after="0"/>
      <w:jc w:val="left"/>
    </w:pPr>
    <w:rPr>
      <w:rFonts w:ascii="Times New Roman" w:hAnsi="Times New Roman" w:eastAsia="Times New Roman" w:cs="Calibri"/>
      <w:color w:val="auto"/>
      <w:kern w:val="0"/>
      <w:sz w:val="24"/>
      <w:szCs w:val="24"/>
      <w:lang w:val="ru-RU" w:eastAsia="ar-SA" w:bidi="ar-SA"/>
    </w:rPr>
  </w:style>
  <w:style w:type="paragraph" w:styleId="1">
    <w:name w:val="Heading 1"/>
    <w:basedOn w:val="Normal"/>
    <w:link w:val="10"/>
    <w:uiPriority w:val="9"/>
    <w:qFormat/>
    <w:rsid w:val="00400e13"/>
    <w:pPr>
      <w:keepNext w:val="true"/>
      <w:keepLines/>
      <w:spacing w:before="480" w:after="0"/>
      <w:outlineLvl w:val="0"/>
    </w:pPr>
    <w:rPr>
      <w:rFonts w:ascii="Cambria" w:hAnsi="Cambria" w:eastAsia="" w:cs="" w:asciiTheme="majorHAnsi" w:cstheme="majorBidi" w:eastAsiaTheme="majorEastAsia" w:hAnsiTheme="majorHAnsi"/>
      <w:b/>
      <w:bCs/>
      <w:color w:val="535356" w:themeColor="accent1" w:themeShade="bf"/>
      <w:sz w:val="28"/>
      <w:szCs w:val="28"/>
    </w:rPr>
  </w:style>
  <w:style w:type="paragraph" w:styleId="2">
    <w:name w:val="Heading 2"/>
    <w:basedOn w:val="Normal"/>
    <w:link w:val="20"/>
    <w:uiPriority w:val="9"/>
    <w:unhideWhenUsed/>
    <w:qFormat/>
    <w:rsid w:val="00152432"/>
    <w:pPr>
      <w:keepNext w:val="true"/>
      <w:keepLines/>
      <w:spacing w:before="200" w:after="0"/>
      <w:outlineLvl w:val="1"/>
    </w:pPr>
    <w:rPr>
      <w:rFonts w:ascii="Cambria" w:hAnsi="Cambria" w:eastAsia="" w:cs="" w:asciiTheme="majorHAnsi" w:cstheme="majorBidi" w:eastAsiaTheme="majorEastAsia" w:hAnsiTheme="majorHAnsi"/>
      <w:b/>
      <w:bCs/>
      <w:color w:val="6F6F74"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00e13"/>
    <w:rPr>
      <w:rFonts w:ascii="Cambria" w:hAnsi="Cambria" w:eastAsia="" w:cs="" w:asciiTheme="majorHAnsi" w:cstheme="majorBidi" w:eastAsiaTheme="majorEastAsia" w:hAnsiTheme="majorHAnsi"/>
      <w:b/>
      <w:bCs/>
      <w:color w:val="535356" w:themeColor="accent1" w:themeShade="bf"/>
      <w:sz w:val="28"/>
      <w:szCs w:val="28"/>
      <w:lang w:eastAsia="ar-SA"/>
    </w:rPr>
  </w:style>
  <w:style w:type="character" w:styleId="Style12" w:customStyle="1">
    <w:name w:val="Текст выноски Знак"/>
    <w:basedOn w:val="DefaultParagraphFont"/>
    <w:link w:val="a6"/>
    <w:uiPriority w:val="99"/>
    <w:semiHidden/>
    <w:qFormat/>
    <w:rsid w:val="00400e13"/>
    <w:rPr>
      <w:rFonts w:ascii="Tahoma" w:hAnsi="Tahoma" w:eastAsia="Times New Roman" w:cs="Tahoma"/>
      <w:sz w:val="16"/>
      <w:szCs w:val="16"/>
      <w:lang w:eastAsia="ar-SA"/>
    </w:rPr>
  </w:style>
  <w:style w:type="character" w:styleId="Style13" w:customStyle="1">
    <w:name w:val="Верхний колонтитул Знак"/>
    <w:basedOn w:val="DefaultParagraphFont"/>
    <w:link w:val="a8"/>
    <w:uiPriority w:val="99"/>
    <w:qFormat/>
    <w:rsid w:val="00152432"/>
    <w:rPr>
      <w:rFonts w:ascii="Times New Roman" w:hAnsi="Times New Roman" w:eastAsia="Times New Roman" w:cs="Calibri"/>
      <w:sz w:val="24"/>
      <w:szCs w:val="24"/>
      <w:lang w:eastAsia="ar-SA"/>
    </w:rPr>
  </w:style>
  <w:style w:type="character" w:styleId="Style14" w:customStyle="1">
    <w:name w:val="Нижний колонтитул Знак"/>
    <w:basedOn w:val="DefaultParagraphFont"/>
    <w:link w:val="aa"/>
    <w:uiPriority w:val="99"/>
    <w:qFormat/>
    <w:rsid w:val="00152432"/>
    <w:rPr>
      <w:rFonts w:ascii="Times New Roman" w:hAnsi="Times New Roman" w:eastAsia="Times New Roman" w:cs="Calibri"/>
      <w:sz w:val="24"/>
      <w:szCs w:val="24"/>
      <w:lang w:eastAsia="ar-SA"/>
    </w:rPr>
  </w:style>
  <w:style w:type="character" w:styleId="21" w:customStyle="1">
    <w:name w:val="Заголовок 2 Знак"/>
    <w:basedOn w:val="DefaultParagraphFont"/>
    <w:link w:val="2"/>
    <w:uiPriority w:val="9"/>
    <w:qFormat/>
    <w:rsid w:val="00152432"/>
    <w:rPr>
      <w:rFonts w:ascii="Cambria" w:hAnsi="Cambria" w:eastAsia="" w:cs="" w:asciiTheme="majorHAnsi" w:cstheme="majorBidi" w:eastAsiaTheme="majorEastAsia" w:hAnsiTheme="majorHAnsi"/>
      <w:b/>
      <w:bCs/>
      <w:color w:val="6F6F74" w:themeColor="accent1"/>
      <w:sz w:val="26"/>
      <w:szCs w:val="26"/>
      <w:lang w:eastAsia="ar-SA"/>
    </w:rPr>
  </w:style>
  <w:style w:type="character" w:styleId="12" w:customStyle="1">
    <w:name w:val="Стиль1 Знак"/>
    <w:basedOn w:val="11"/>
    <w:link w:val="12"/>
    <w:qFormat/>
    <w:rsid w:val="00152432"/>
    <w:rPr>
      <w:rFonts w:ascii="Times New Roman" w:hAnsi="Times New Roman" w:eastAsia="" w:cs="Times New Roman" w:eastAsiaTheme="majorEastAsia"/>
      <w:b/>
      <w:bCs/>
      <w:color w:val="535356" w:themeColor="accent1" w:themeShade="bf"/>
      <w:sz w:val="28"/>
      <w:szCs w:val="28"/>
      <w:lang w:eastAsia="ar-SA"/>
    </w:rPr>
  </w:style>
  <w:style w:type="character" w:styleId="22" w:customStyle="1">
    <w:name w:val="Стиль2 Знак"/>
    <w:basedOn w:val="21"/>
    <w:link w:val="22"/>
    <w:qFormat/>
    <w:rsid w:val="00ca71b9"/>
    <w:rPr>
      <w:rFonts w:ascii="Times New Roman" w:hAnsi="Times New Roman" w:eastAsia="" w:cs="Times New Roman" w:eastAsiaTheme="majorEastAsia"/>
      <w:b/>
      <w:bCs/>
      <w:i/>
      <w:color w:val="6F6F74" w:themeColor="accent1"/>
      <w:sz w:val="28"/>
      <w:szCs w:val="28"/>
      <w:u w:val="single"/>
      <w:lang w:eastAsia="ar-SA"/>
    </w:rPr>
  </w:style>
  <w:style w:type="character" w:styleId="Style15" w:customStyle="1">
    <w:name w:val="Основной текст Знак"/>
    <w:basedOn w:val="DefaultParagraphFont"/>
    <w:link w:val="ad"/>
    <w:qFormat/>
    <w:rsid w:val="00e34fcb"/>
    <w:rPr>
      <w:rFonts w:ascii="Times New Roman" w:hAnsi="Times New Roman" w:eastAsia="Times New Roman" w:cs="Calibri"/>
      <w:sz w:val="24"/>
      <w:szCs w:val="24"/>
      <w:lang w:eastAsia="ar-SA"/>
    </w:rPr>
  </w:style>
  <w:style w:type="character" w:styleId="Style16">
    <w:name w:val="Интернет-ссылка"/>
    <w:basedOn w:val="DefaultParagraphFont"/>
    <w:uiPriority w:val="99"/>
    <w:unhideWhenUsed/>
    <w:rsid w:val="00ca71b9"/>
    <w:rPr>
      <w:color w:val="67AABF" w:themeColor="hyperlink"/>
      <w:u w:val="single"/>
    </w:rPr>
  </w:style>
  <w:style w:type="character" w:styleId="3" w:customStyle="1">
    <w:name w:val="Стиль3 Знак"/>
    <w:basedOn w:val="22"/>
    <w:link w:val="30"/>
    <w:qFormat/>
    <w:rsid w:val="00ca71b9"/>
    <w:rPr>
      <w:rFonts w:ascii="Times New Roman" w:hAnsi="Times New Roman" w:eastAsia="" w:cs="Times New Roman" w:eastAsiaTheme="majorEastAsia"/>
      <w:b/>
      <w:bCs/>
      <w:i/>
      <w:color w:val="6F6F74" w:themeColor="accent1"/>
      <w:sz w:val="28"/>
      <w:szCs w:val="28"/>
      <w:u w:val="single"/>
      <w:lang w:eastAsia="ar-SA"/>
    </w:rPr>
  </w:style>
  <w:style w:type="character" w:styleId="Style17" w:customStyle="1">
    <w:name w:val="Без интервала Знак"/>
    <w:link w:val="af"/>
    <w:uiPriority w:val="1"/>
    <w:qFormat/>
    <w:locked/>
    <w:rsid w:val="00ea29f7"/>
    <w:rPr>
      <w:rFonts w:ascii="Calibri" w:hAnsi="Calibri" w:eastAsia="Calibri" w:cs="Times New Roman"/>
      <w:lang w:eastAsia="ar-SA"/>
    </w:rPr>
  </w:style>
  <w:style w:type="character" w:styleId="Style18" w:customStyle="1">
    <w:name w:val="Абзац списка Знак"/>
    <w:link w:val="a3"/>
    <w:uiPriority w:val="34"/>
    <w:qFormat/>
    <w:rsid w:val="00a210db"/>
    <w:rPr>
      <w:rFonts w:ascii="Times New Roman" w:hAnsi="Times New Roman" w:eastAsia="Times New Roman" w:cs="Calibri"/>
      <w:sz w:val="24"/>
      <w:szCs w:val="24"/>
      <w:lang w:eastAsia="ar-SA"/>
    </w:rPr>
  </w:style>
  <w:style w:type="character" w:styleId="0" w:customStyle="1">
    <w:name w:val="Стиль0 Знак"/>
    <w:basedOn w:val="11"/>
    <w:link w:val="0"/>
    <w:qFormat/>
    <w:rsid w:val="008a132c"/>
    <w:rPr>
      <w:rFonts w:ascii="Times New Roman" w:hAnsi="Times New Roman" w:eastAsia="Calibri" w:cs="Times New Roman"/>
      <w:b/>
      <w:bCs/>
      <w:color w:val="535356" w:themeColor="accent1" w:themeShade="bf"/>
      <w:sz w:val="28"/>
      <w:szCs w:val="28"/>
      <w:lang w:eastAsia="ar-SA"/>
    </w:rPr>
  </w:style>
  <w:style w:type="character" w:styleId="4" w:customStyle="1">
    <w:name w:val="Основной текст (4)_"/>
    <w:link w:val="40"/>
    <w:qFormat/>
    <w:locked/>
    <w:rsid w:val="00f400df"/>
    <w:rPr>
      <w:shd w:fill="FFFFFF" w:val="clear"/>
    </w:rPr>
  </w:style>
  <w:style w:type="character" w:styleId="Style19" w:customStyle="1">
    <w:name w:val="Сноска_"/>
    <w:link w:val="af5"/>
    <w:qFormat/>
    <w:locked/>
    <w:rsid w:val="00f400df"/>
    <w:rPr>
      <w:rFonts w:ascii="Arial" w:hAnsi="Arial" w:eastAsia="Arial" w:cs="Arial"/>
      <w:shd w:fill="FFFFFF" w:val="clear"/>
    </w:rPr>
  </w:style>
  <w:style w:type="character" w:styleId="FollowedHyperlink">
    <w:name w:val="FollowedHyperlink"/>
    <w:basedOn w:val="DefaultParagraphFont"/>
    <w:uiPriority w:val="99"/>
    <w:semiHidden/>
    <w:unhideWhenUsed/>
    <w:qFormat/>
    <w:rsid w:val="00bd11dd"/>
    <w:rPr>
      <w:color w:val="B1B5AB" w:themeColor="followedHyperlink"/>
      <w:u w:val="single"/>
    </w:rPr>
  </w:style>
  <w:style w:type="character" w:styleId="13" w:customStyle="1">
    <w:name w:val="Обычный (веб) Знак1"/>
    <w:link w:val="af3"/>
    <w:uiPriority w:val="99"/>
    <w:qFormat/>
    <w:locked/>
    <w:rsid w:val="00115f15"/>
    <w:rPr>
      <w:rFonts w:ascii="Times New Roman" w:hAnsi="Times New Roman" w:eastAsia="Times New Roman" w:cs="Times New Roman"/>
      <w:sz w:val="24"/>
      <w:szCs w:val="24"/>
      <w:lang w:eastAsia="ru-RU"/>
    </w:rPr>
  </w:style>
  <w:style w:type="character" w:styleId="Style20">
    <w:name w:val="Ссылка указателя"/>
    <w:qFormat/>
    <w:rPr/>
  </w:style>
  <w:style w:type="paragraph" w:styleId="Style21">
    <w:name w:val="Заголовок"/>
    <w:basedOn w:val="Normal"/>
    <w:next w:val="Style22"/>
    <w:qFormat/>
    <w:pPr>
      <w:keepNext w:val="true"/>
      <w:spacing w:before="240" w:after="120"/>
    </w:pPr>
    <w:rPr>
      <w:rFonts w:ascii="Liberation Sans" w:hAnsi="Liberation Sans" w:eastAsia="Tahoma" w:cs="Droid Sans Devanagari"/>
      <w:sz w:val="28"/>
      <w:szCs w:val="28"/>
    </w:rPr>
  </w:style>
  <w:style w:type="paragraph" w:styleId="Style22">
    <w:name w:val="Body Text"/>
    <w:basedOn w:val="Normal"/>
    <w:link w:val="ae"/>
    <w:rsid w:val="00e34fcb"/>
    <w:pPr>
      <w:spacing w:before="0" w:after="120"/>
    </w:pPr>
    <w:rPr/>
  </w:style>
  <w:style w:type="paragraph" w:styleId="Style23">
    <w:name w:val="List"/>
    <w:basedOn w:val="Style22"/>
    <w:pPr/>
    <w:rPr>
      <w:rFonts w:cs="Droid Sans Devanagari"/>
    </w:rPr>
  </w:style>
  <w:style w:type="paragraph" w:styleId="Style24">
    <w:name w:val="Caption"/>
    <w:basedOn w:val="Normal"/>
    <w:qFormat/>
    <w:pPr>
      <w:suppressLineNumbers/>
      <w:spacing w:before="120" w:after="120"/>
    </w:pPr>
    <w:rPr>
      <w:rFonts w:cs="Droid Sans Devanagari"/>
      <w:i/>
      <w:iCs/>
      <w:sz w:val="24"/>
      <w:szCs w:val="24"/>
    </w:rPr>
  </w:style>
  <w:style w:type="paragraph" w:styleId="Style25">
    <w:name w:val="Указатель"/>
    <w:basedOn w:val="Normal"/>
    <w:qFormat/>
    <w:pPr>
      <w:suppressLineNumbers/>
    </w:pPr>
    <w:rPr>
      <w:rFonts w:cs="Droid Sans Devanagari"/>
    </w:rPr>
  </w:style>
  <w:style w:type="paragraph" w:styleId="ListParagraph">
    <w:name w:val="List Paragraph"/>
    <w:basedOn w:val="Normal"/>
    <w:link w:val="a4"/>
    <w:uiPriority w:val="34"/>
    <w:qFormat/>
    <w:rsid w:val="00400e13"/>
    <w:pPr>
      <w:spacing w:before="0" w:after="0"/>
      <w:ind w:left="720" w:hanging="0"/>
      <w:contextualSpacing/>
    </w:pPr>
    <w:rPr/>
  </w:style>
  <w:style w:type="paragraph" w:styleId="TOCHeading">
    <w:name w:val="TOC Heading"/>
    <w:basedOn w:val="1"/>
    <w:uiPriority w:val="39"/>
    <w:unhideWhenUsed/>
    <w:qFormat/>
    <w:rsid w:val="00400e13"/>
    <w:pPr>
      <w:suppressAutoHyphens w:val="false"/>
      <w:spacing w:lineRule="auto" w:line="276"/>
    </w:pPr>
    <w:rPr>
      <w:lang w:eastAsia="ru-RU"/>
    </w:rPr>
  </w:style>
  <w:style w:type="paragraph" w:styleId="BalloonText">
    <w:name w:val="Balloon Text"/>
    <w:basedOn w:val="Normal"/>
    <w:link w:val="a7"/>
    <w:uiPriority w:val="99"/>
    <w:semiHidden/>
    <w:unhideWhenUsed/>
    <w:qFormat/>
    <w:rsid w:val="00400e13"/>
    <w:pPr/>
    <w:rPr>
      <w:rFonts w:ascii="Tahoma" w:hAnsi="Tahoma" w:cs="Tahoma"/>
      <w:sz w:val="16"/>
      <w:szCs w:val="16"/>
    </w:rPr>
  </w:style>
  <w:style w:type="paragraph" w:styleId="23">
    <w:name w:val="TOC 2"/>
    <w:basedOn w:val="Normal"/>
    <w:autoRedefine/>
    <w:uiPriority w:val="39"/>
    <w:unhideWhenUsed/>
    <w:qFormat/>
    <w:rsid w:val="001d3ac3"/>
    <w:pPr>
      <w:tabs>
        <w:tab w:val="clear" w:pos="708"/>
        <w:tab w:val="right" w:pos="9628" w:leader="dot"/>
      </w:tabs>
      <w:suppressAutoHyphens w:val="false"/>
    </w:pPr>
    <w:rPr>
      <w:rFonts w:eastAsia="" w:cs="Times New Roman" w:eastAsiaTheme="minorEastAsia"/>
      <w:spacing w:val="-4"/>
      <w:sz w:val="28"/>
      <w:szCs w:val="28"/>
      <w:lang w:eastAsia="ru-RU"/>
    </w:rPr>
  </w:style>
  <w:style w:type="paragraph" w:styleId="14">
    <w:name w:val="TOC 1"/>
    <w:basedOn w:val="Normal"/>
    <w:autoRedefine/>
    <w:uiPriority w:val="39"/>
    <w:unhideWhenUsed/>
    <w:qFormat/>
    <w:rsid w:val="00036d16"/>
    <w:pPr>
      <w:tabs>
        <w:tab w:val="clear" w:pos="708"/>
        <w:tab w:val="left" w:pos="142" w:leader="none"/>
        <w:tab w:val="right" w:pos="9639" w:leader="dot"/>
      </w:tabs>
      <w:suppressAutoHyphens w:val="false"/>
      <w:ind w:right="-1" w:hanging="0"/>
      <w:jc w:val="both"/>
    </w:pPr>
    <w:rPr>
      <w:rFonts w:eastAsia="" w:cs="Times New Roman" w:eastAsiaTheme="minorEastAsia"/>
      <w:b/>
      <w:sz w:val="28"/>
      <w:szCs w:val="28"/>
      <w:lang w:eastAsia="ru-RU"/>
    </w:rPr>
  </w:style>
  <w:style w:type="paragraph" w:styleId="31">
    <w:name w:val="TOC 3"/>
    <w:basedOn w:val="Normal"/>
    <w:autoRedefine/>
    <w:uiPriority w:val="39"/>
    <w:semiHidden/>
    <w:unhideWhenUsed/>
    <w:qFormat/>
    <w:rsid w:val="00400e13"/>
    <w:pPr>
      <w:suppressAutoHyphens w:val="false"/>
      <w:spacing w:lineRule="auto" w:line="276" w:before="0" w:after="100"/>
      <w:ind w:left="440" w:hanging="0"/>
    </w:pPr>
    <w:rPr>
      <w:rFonts w:ascii="Calibri" w:hAnsi="Calibri" w:eastAsia="" w:cs="" w:asciiTheme="minorHAnsi" w:cstheme="minorBidi" w:eastAsiaTheme="minorEastAsia" w:hAnsiTheme="minorHAnsi"/>
      <w:sz w:val="22"/>
      <w:szCs w:val="22"/>
      <w:lang w:eastAsia="ru-RU"/>
    </w:rPr>
  </w:style>
  <w:style w:type="paragraph" w:styleId="Style26">
    <w:name w:val="Верхний и нижний колонтитулы"/>
    <w:basedOn w:val="Normal"/>
    <w:qFormat/>
    <w:pPr/>
    <w:rPr/>
  </w:style>
  <w:style w:type="paragraph" w:styleId="Style27">
    <w:name w:val="Header"/>
    <w:basedOn w:val="Normal"/>
    <w:link w:val="a9"/>
    <w:uiPriority w:val="99"/>
    <w:unhideWhenUsed/>
    <w:rsid w:val="00152432"/>
    <w:pPr>
      <w:tabs>
        <w:tab w:val="clear" w:pos="708"/>
        <w:tab w:val="center" w:pos="4677" w:leader="none"/>
        <w:tab w:val="right" w:pos="9355" w:leader="none"/>
      </w:tabs>
    </w:pPr>
    <w:rPr/>
  </w:style>
  <w:style w:type="paragraph" w:styleId="Style28">
    <w:name w:val="Footer"/>
    <w:basedOn w:val="Normal"/>
    <w:link w:val="ab"/>
    <w:uiPriority w:val="99"/>
    <w:unhideWhenUsed/>
    <w:rsid w:val="00152432"/>
    <w:pPr>
      <w:tabs>
        <w:tab w:val="clear" w:pos="708"/>
        <w:tab w:val="center" w:pos="4677" w:leader="none"/>
        <w:tab w:val="right" w:pos="9355" w:leader="none"/>
      </w:tabs>
    </w:pPr>
    <w:rPr/>
  </w:style>
  <w:style w:type="paragraph" w:styleId="15" w:customStyle="1">
    <w:name w:val="Стиль1"/>
    <w:basedOn w:val="1"/>
    <w:link w:val="13"/>
    <w:qFormat/>
    <w:rsid w:val="00152432"/>
    <w:pPr>
      <w:jc w:val="center"/>
    </w:pPr>
    <w:rPr>
      <w:rFonts w:ascii="Times New Roman" w:hAnsi="Times New Roman" w:cs="Times New Roman"/>
      <w:color w:val="auto"/>
    </w:rPr>
  </w:style>
  <w:style w:type="paragraph" w:styleId="24" w:customStyle="1">
    <w:name w:val="Стиль2"/>
    <w:basedOn w:val="2"/>
    <w:link w:val="23"/>
    <w:qFormat/>
    <w:rsid w:val="00ca71b9"/>
    <w:pPr>
      <w:spacing w:before="0" w:after="0"/>
      <w:jc w:val="center"/>
    </w:pPr>
    <w:rPr>
      <w:rFonts w:ascii="Times New Roman" w:hAnsi="Times New Roman" w:cs="Times New Roman"/>
      <w:i/>
      <w:color w:val="auto"/>
      <w:sz w:val="28"/>
      <w:szCs w:val="28"/>
      <w:u w:val="single"/>
    </w:rPr>
  </w:style>
  <w:style w:type="paragraph" w:styleId="Caption">
    <w:name w:val="caption"/>
    <w:basedOn w:val="Normal"/>
    <w:unhideWhenUsed/>
    <w:qFormat/>
    <w:rsid w:val="00152432"/>
    <w:pPr>
      <w:spacing w:before="0" w:after="200"/>
    </w:pPr>
    <w:rPr>
      <w:b/>
      <w:bCs/>
      <w:color w:val="6F6F74" w:themeColor="accent1"/>
      <w:sz w:val="18"/>
      <w:szCs w:val="18"/>
    </w:rPr>
  </w:style>
  <w:style w:type="paragraph" w:styleId="NoSpacing">
    <w:name w:val="No Spacing"/>
    <w:link w:val="af0"/>
    <w:uiPriority w:val="1"/>
    <w:qFormat/>
    <w:rsid w:val="00e34fc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u-RU" w:eastAsia="ar-SA" w:bidi="ar-SA"/>
    </w:rPr>
  </w:style>
  <w:style w:type="paragraph" w:styleId="Style81" w:customStyle="1">
    <w:name w:val="Style8"/>
    <w:basedOn w:val="Normal"/>
    <w:qFormat/>
    <w:rsid w:val="002c09a1"/>
    <w:pPr>
      <w:widowControl w:val="false"/>
      <w:suppressAutoHyphens w:val="false"/>
      <w:spacing w:lineRule="exact" w:line="235"/>
      <w:ind w:hanging="1272"/>
    </w:pPr>
    <w:rPr>
      <w:rFonts w:cs="Times New Roman"/>
      <w:lang w:eastAsia="zh-CN"/>
    </w:rPr>
  </w:style>
  <w:style w:type="paragraph" w:styleId="Formattext" w:customStyle="1">
    <w:name w:val="formattext"/>
    <w:basedOn w:val="Normal"/>
    <w:qFormat/>
    <w:rsid w:val="00b12c0c"/>
    <w:pPr>
      <w:suppressAutoHyphens w:val="false"/>
      <w:spacing w:beforeAutospacing="1" w:afterAutospacing="1"/>
    </w:pPr>
    <w:rPr>
      <w:rFonts w:cs="Times New Roman"/>
      <w:lang w:eastAsia="ru-RU"/>
    </w:rPr>
  </w:style>
  <w:style w:type="paragraph" w:styleId="16" w:customStyle="1">
    <w:name w:val="Текст1"/>
    <w:basedOn w:val="Normal"/>
    <w:qFormat/>
    <w:rsid w:val="00997e66"/>
    <w:pPr>
      <w:suppressAutoHyphens w:val="false"/>
    </w:pPr>
    <w:rPr>
      <w:rFonts w:ascii="Courier New" w:hAnsi="Courier New" w:cs="Times New Roman"/>
      <w:sz w:val="20"/>
      <w:szCs w:val="20"/>
    </w:rPr>
  </w:style>
  <w:style w:type="paragraph" w:styleId="32" w:customStyle="1">
    <w:name w:val="Стиль3"/>
    <w:basedOn w:val="24"/>
    <w:link w:val="31"/>
    <w:qFormat/>
    <w:rsid w:val="00ca71b9"/>
    <w:pPr/>
    <w:rPr>
      <w:u w:val="none"/>
    </w:rPr>
  </w:style>
  <w:style w:type="paragraph" w:styleId="Default" w:customStyle="1">
    <w:name w:val="Default"/>
    <w:qFormat/>
    <w:rsid w:val="00ae7788"/>
    <w:pPr>
      <w:widowControl/>
      <w:bidi w:val="0"/>
      <w:spacing w:lineRule="auto" w:line="240" w:before="0" w:after="0"/>
      <w:jc w:val="left"/>
    </w:pPr>
    <w:rPr>
      <w:rFonts w:ascii="Arial" w:hAnsi="Arial" w:eastAsia="Calibri" w:cs="Arial"/>
      <w:color w:val="000000"/>
      <w:kern w:val="0"/>
      <w:sz w:val="24"/>
      <w:szCs w:val="24"/>
      <w:lang w:val="ru-RU" w:eastAsia="en-US" w:bidi="ar-SA"/>
    </w:rPr>
  </w:style>
  <w:style w:type="paragraph" w:styleId="NormalWeb">
    <w:name w:val="Normal (Web)"/>
    <w:basedOn w:val="Normal"/>
    <w:link w:val="15"/>
    <w:uiPriority w:val="99"/>
    <w:unhideWhenUsed/>
    <w:qFormat/>
    <w:rsid w:val="00ae7788"/>
    <w:pPr>
      <w:suppressAutoHyphens w:val="false"/>
      <w:spacing w:beforeAutospacing="1" w:afterAutospacing="1"/>
    </w:pPr>
    <w:rPr>
      <w:rFonts w:cs="Times New Roman"/>
      <w:lang w:eastAsia="ru-RU"/>
    </w:rPr>
  </w:style>
  <w:style w:type="paragraph" w:styleId="S1" w:customStyle="1">
    <w:name w:val="s_1"/>
    <w:basedOn w:val="Normal"/>
    <w:qFormat/>
    <w:rsid w:val="00983bd1"/>
    <w:pPr>
      <w:ind w:firstLine="720"/>
      <w:jc w:val="both"/>
    </w:pPr>
    <w:rPr>
      <w:rFonts w:ascii="Arial" w:hAnsi="Arial" w:cs="Arial"/>
      <w:sz w:val="26"/>
      <w:szCs w:val="26"/>
      <w:lang w:eastAsia="zh-CN"/>
    </w:rPr>
  </w:style>
  <w:style w:type="paragraph" w:styleId="ConsPlusNormal" w:customStyle="1">
    <w:name w:val="ConsPlusNormal"/>
    <w:qFormat/>
    <w:rsid w:val="00983bd1"/>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01" w:customStyle="1">
    <w:name w:val="Стиль0"/>
    <w:basedOn w:val="1"/>
    <w:link w:val="00"/>
    <w:qFormat/>
    <w:rsid w:val="008a132c"/>
    <w:pPr>
      <w:spacing w:before="0" w:after="0"/>
      <w:jc w:val="center"/>
    </w:pPr>
    <w:rPr>
      <w:rFonts w:ascii="Times New Roman" w:hAnsi="Times New Roman" w:eastAsia="Calibri" w:cs="Times New Roman"/>
      <w:color w:val="auto"/>
    </w:rPr>
  </w:style>
  <w:style w:type="paragraph" w:styleId="17" w:customStyle="1">
    <w:name w:val="Обычный1"/>
    <w:qFormat/>
    <w:rsid w:val="00f400df"/>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uiPriority w:val="99"/>
    <w:qFormat/>
    <w:rsid w:val="00f400df"/>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41" w:customStyle="1">
    <w:name w:val="Основной текст (4)"/>
    <w:basedOn w:val="Normal"/>
    <w:link w:val="4"/>
    <w:qFormat/>
    <w:rsid w:val="00f400df"/>
    <w:pPr>
      <w:widowControl w:val="false"/>
      <w:shd w:val="clear" w:color="auto" w:fill="FFFFFF"/>
      <w:suppressAutoHyphens w:val="false"/>
      <w:spacing w:lineRule="auto" w:line="240" w:before="6600" w:after="60"/>
      <w:ind w:hanging="1200"/>
      <w:jc w:val="center"/>
    </w:pPr>
    <w:rPr>
      <w:rFonts w:ascii="Calibri" w:hAnsi="Calibri" w:eastAsia="Calibri" w:cs="" w:asciiTheme="minorHAnsi" w:cstheme="minorBidi" w:eastAsiaTheme="minorHAnsi" w:hAnsiTheme="minorHAnsi"/>
      <w:b/>
      <w:bCs/>
      <w:sz w:val="22"/>
      <w:szCs w:val="22"/>
      <w:lang w:eastAsia="en-US"/>
    </w:rPr>
  </w:style>
  <w:style w:type="paragraph" w:styleId="Style29" w:customStyle="1">
    <w:name w:val="Footnote Text"/>
    <w:basedOn w:val="Normal"/>
    <w:link w:val="af4"/>
    <w:rsid w:val="00f400df"/>
    <w:pPr>
      <w:widowControl w:val="false"/>
      <w:shd w:val="clear" w:color="auto" w:fill="FFFFFF"/>
      <w:suppressAutoHyphens w:val="false"/>
      <w:spacing w:lineRule="exact" w:line="250" w:before="180" w:after="60"/>
      <w:ind w:hanging="280"/>
      <w:jc w:val="both"/>
    </w:pPr>
    <w:rPr>
      <w:rFonts w:ascii="Arial" w:hAnsi="Arial" w:eastAsia="Arial" w:cs="Arial"/>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59"/>
    <w:rsid w:val="00e34f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Сетка таблицы2"/>
    <w:basedOn w:val="a1"/>
    <w:uiPriority w:val="39"/>
    <w:rsid w:val="00a210d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Сетка таблицы1"/>
    <w:basedOn w:val="a1"/>
    <w:uiPriority w:val="39"/>
    <w:rsid w:val="005016c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image" Target="media/image1.png"/><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chart" Target="charts/chart8.xml"/><Relationship Id="rId13" Type="http://schemas.openxmlformats.org/officeDocument/2006/relationships/chart" Target="charts/chart9.xml"/><Relationship Id="rId14" Type="http://schemas.openxmlformats.org/officeDocument/2006/relationships/chart" Target="charts/chart10.xml"/><Relationship Id="rId15" Type="http://schemas.openxmlformats.org/officeDocument/2006/relationships/chart" Target="charts/chart11.xml"/><Relationship Id="rId16" Type="http://schemas.openxmlformats.org/officeDocument/2006/relationships/chart" Target="charts/chart12.xml"/><Relationship Id="rId17" Type="http://schemas.openxmlformats.org/officeDocument/2006/relationships/chart" Target="charts/chart13.xml"/><Relationship Id="rId18" Type="http://schemas.openxmlformats.org/officeDocument/2006/relationships/chart" Target="charts/chart14.xml"/><Relationship Id="rId19" Type="http://schemas.openxmlformats.org/officeDocument/2006/relationships/chart" Target="charts/chart15.xml"/><Relationship Id="rId20" Type="http://schemas.openxmlformats.org/officeDocument/2006/relationships/chart" Target="charts/chart16.xml"/><Relationship Id="rId21" Type="http://schemas.openxmlformats.org/officeDocument/2006/relationships/chart" Target="charts/chart17.xml"/><Relationship Id="rId22" Type="http://schemas.openxmlformats.org/officeDocument/2006/relationships/chart" Target="charts/chart18.xml"/><Relationship Id="rId23" Type="http://schemas.openxmlformats.org/officeDocument/2006/relationships/chart" Target="charts/chart19.xml"/><Relationship Id="rId24" Type="http://schemas.openxmlformats.org/officeDocument/2006/relationships/chart" Target="charts/chart20.xml"/><Relationship Id="rId25" Type="http://schemas.openxmlformats.org/officeDocument/2006/relationships/chart" Target="charts/chart21.xml"/><Relationship Id="rId26" Type="http://schemas.openxmlformats.org/officeDocument/2006/relationships/chart" Target="charts/chart22.xml"/><Relationship Id="rId27" Type="http://schemas.openxmlformats.org/officeDocument/2006/relationships/chart" Target="charts/chart23.xml"/><Relationship Id="rId28" Type="http://schemas.openxmlformats.org/officeDocument/2006/relationships/chart" Target="charts/chart24.xml"/><Relationship Id="rId29" Type="http://schemas.openxmlformats.org/officeDocument/2006/relationships/chart" Target="charts/chart25.xml"/><Relationship Id="rId30" Type="http://schemas.openxmlformats.org/officeDocument/2006/relationships/chart" Target="charts/chart26.xml"/><Relationship Id="rId31" Type="http://schemas.openxmlformats.org/officeDocument/2006/relationships/chart" Target="charts/chart27.xml"/><Relationship Id="rId32" Type="http://schemas.openxmlformats.org/officeDocument/2006/relationships/chart" Target="charts/chart28.xml"/><Relationship Id="rId33" Type="http://schemas.openxmlformats.org/officeDocument/2006/relationships/chart" Target="charts/chart29.xml"/><Relationship Id="rId34" Type="http://schemas.openxmlformats.org/officeDocument/2006/relationships/chart" Target="charts/chart30.xml"/><Relationship Id="rId35" Type="http://schemas.openxmlformats.org/officeDocument/2006/relationships/chart" Target="charts/chart31.xml"/><Relationship Id="rId36" Type="http://schemas.openxmlformats.org/officeDocument/2006/relationships/chart" Target="charts/chart32.xml"/><Relationship Id="rId37" Type="http://schemas.openxmlformats.org/officeDocument/2006/relationships/chart" Target="charts/chart33.xml"/><Relationship Id="rId38" Type="http://schemas.openxmlformats.org/officeDocument/2006/relationships/chart" Target="charts/chart34.xml"/><Relationship Id="rId39" Type="http://schemas.openxmlformats.org/officeDocument/2006/relationships/header" Target="header3.xml"/><Relationship Id="rId40" Type="http://schemas.openxmlformats.org/officeDocument/2006/relationships/header" Target="header4.xml"/><Relationship Id="rId41" Type="http://schemas.openxmlformats.org/officeDocument/2006/relationships/header" Target="header5.xml"/><Relationship Id="rId42" Type="http://schemas.openxmlformats.org/officeDocument/2006/relationships/header" Target="header6.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Relationship Id="rId47" Type="http://schemas.openxmlformats.org/officeDocument/2006/relationships/customXml" Target="../customXml/item1.xml"/><Relationship Id="rId48" Type="http://schemas.openxmlformats.org/officeDocument/2006/relationships/customXml" Target="../customXml/item2.xml"/>
</Relationships>
</file>

<file path=word/charts/_rels/chart17.xml.rels><?xml version="1.0" encoding="UTF-8"?>
<Relationships xmlns="http://schemas.openxmlformats.org/package/2006/relationships"><Relationship Id="rId1" Type="http://schemas.openxmlformats.org/officeDocument/2006/relationships/package" Target="../embeddings/Microsoft_Excel_Worksheet6.xlsx"/>
</Relationships>
</file>

<file path=word/charts/_rels/chart34.xml.rels><?xml version="1.0" encoding="UTF-8"?>
<Relationships xmlns="http://schemas.openxmlformats.org/package/2006/relationships"><Relationship Id="rId1" Type="http://schemas.openxmlformats.org/officeDocument/2006/relationships/package" Target="../embeddings/Microsoft_Excel_Worksheet7.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5.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7.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_rels/chart8.xml.rels><?xml version="1.0" encoding="UTF-8"?>
<Relationships xmlns="http://schemas.openxmlformats.org/package/2006/relationships"><Relationship Id="rId1" Type="http://schemas.openxmlformats.org/officeDocument/2006/relationships/package" Target="../embeddings/Microsoft_Excel_Worksheet4.xlsx"/>
</Relationships>
</file>

<file path=word/charts/_rels/chart9.xml.rels><?xml version="1.0" encoding="UTF-8"?>
<Relationships xmlns="http://schemas.openxmlformats.org/package/2006/relationships"><Relationship Id="rId1" Type="http://schemas.openxmlformats.org/officeDocument/2006/relationships/package" Target="../embeddings/Microsoft_Excel_Worksheet5.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2017</c:v>
                </c:pt>
              </c:strCache>
            </c:strRef>
          </c:tx>
          <c:spPr>
            <a:solidFill>
              <a:srgbClr val="6f6f74"/>
            </a:solidFill>
            <a:ln w="9360">
              <a:solidFill>
                <a:srgbClr val="f9f9f9"/>
              </a:solidFill>
              <a:round/>
            </a:ln>
          </c:spPr>
          <c:explosion val="0"/>
          <c:dPt>
            <c:idx val="0"/>
            <c:spPr>
              <a:solidFill>
                <a:srgbClr val="5c5c60"/>
              </a:solidFill>
              <a:ln w="9360">
                <a:solidFill>
                  <a:srgbClr val="f9f9f9"/>
                </a:solidFill>
                <a:round/>
              </a:ln>
            </c:spPr>
          </c:dPt>
          <c:dPt>
            <c:idx val="1"/>
            <c:spPr>
              <a:solidFill>
                <a:srgbClr val="8a9771"/>
              </a:solidFill>
              <a:ln w="9360">
                <a:solidFill>
                  <a:srgbClr val="f9f9f9"/>
                </a:solidFill>
                <a:round/>
              </a:ln>
            </c:spPr>
          </c:dPt>
          <c:dPt>
            <c:idx val="2"/>
            <c:spPr>
              <a:solidFill>
                <a:srgbClr val="9d907e"/>
              </a:solidFill>
              <a:ln w="9360">
                <a:solidFill>
                  <a:srgbClr val="f9f9f9"/>
                </a:solidFill>
                <a:round/>
              </a:ln>
            </c:spPr>
          </c:dPt>
          <c:dPt>
            <c:idx val="3"/>
            <c:spPr>
              <a:solidFill>
                <a:srgbClr val="798c99"/>
              </a:solidFill>
              <a:ln w="9360">
                <a:solidFill>
                  <a:srgbClr val="f9f9f9"/>
                </a:solidFill>
                <a:round/>
              </a:ln>
            </c:spPr>
          </c:dPt>
          <c:dPt>
            <c:idx val="4"/>
            <c:spPr>
              <a:solidFill>
                <a:srgbClr val="816b53"/>
              </a:solidFill>
              <a:ln w="9360">
                <a:solidFill>
                  <a:srgbClr val="f9f9f9"/>
                </a:solidFill>
                <a:round/>
              </a:ln>
            </c:spPr>
          </c:dPt>
          <c:dPt>
            <c:idx val="5"/>
            <c:spPr>
              <a:solidFill>
                <a:srgbClr val="745760"/>
              </a:solidFill>
              <a:ln w="9360">
                <a:solidFill>
                  <a:srgbClr val="f9f9f9"/>
                </a:solidFill>
                <a:round/>
              </a:ln>
            </c:spPr>
          </c:dPt>
          <c:dPt>
            <c:idx val="6"/>
            <c:spPr>
              <a:solidFill>
                <a:srgbClr val="6f6f74"/>
              </a:solidFill>
              <a:ln w="9360">
                <a:solidFill>
                  <a:srgbClr val="f9f9f9"/>
                </a:solidFill>
                <a:round/>
              </a:ln>
            </c:spPr>
          </c:dPt>
          <c:dPt>
            <c:idx val="7"/>
            <c:spPr>
              <a:solidFill>
                <a:srgbClr val="a7b789"/>
              </a:solidFill>
              <a:ln w="9360">
                <a:solidFill>
                  <a:srgbClr val="f9f9f9"/>
                </a:solidFill>
                <a:round/>
              </a:ln>
            </c:spPr>
          </c:dPt>
          <c:dPt>
            <c:idx val="8"/>
            <c:spPr>
              <a:solidFill>
                <a:srgbClr val="beae98"/>
              </a:solidFill>
              <a:ln w="9360">
                <a:solidFill>
                  <a:srgbClr val="f9f9f9"/>
                </a:solidFill>
                <a:round/>
              </a:ln>
            </c:spPr>
          </c:dPt>
          <c:dPt>
            <c:idx val="9"/>
            <c:spPr>
              <a:solidFill>
                <a:srgbClr val="92a9b9"/>
              </a:solidFill>
              <a:ln w="9360">
                <a:solidFill>
                  <a:srgbClr val="f9f9f9"/>
                </a:solidFill>
                <a:round/>
              </a:ln>
            </c:spPr>
          </c:dPt>
          <c:dPt>
            <c:idx val="10"/>
            <c:spPr>
              <a:solidFill>
                <a:srgbClr val="9c8265"/>
              </a:solidFill>
              <a:ln w="9360">
                <a:solidFill>
                  <a:srgbClr val="f9f9f9"/>
                </a:solidFill>
                <a:round/>
              </a:ln>
            </c:spPr>
          </c:dPt>
          <c:dPt>
            <c:idx val="11"/>
            <c:spPr>
              <a:solidFill>
                <a:srgbClr val="8d6974"/>
              </a:solidFill>
              <a:ln w="9360">
                <a:solidFill>
                  <a:srgbClr val="f9f9f9"/>
                </a:solidFill>
                <a:round/>
              </a:ln>
            </c:spPr>
          </c:dPt>
          <c:dPt>
            <c:idx val="12"/>
            <c:spPr>
              <a:solidFill>
                <a:srgbClr val="b3b3b5"/>
              </a:solidFill>
              <a:ln w="9360">
                <a:solidFill>
                  <a:srgbClr val="f9f9f9"/>
                </a:solidFill>
                <a:round/>
              </a:ln>
            </c:spPr>
          </c:dPt>
          <c:dPt>
            <c:idx val="13"/>
            <c:spPr>
              <a:solidFill>
                <a:srgbClr val="cbd3bd"/>
              </a:solidFill>
              <a:ln w="9360">
                <a:solidFill>
                  <a:srgbClr val="f9f9f9"/>
                </a:solidFill>
                <a:round/>
              </a:ln>
            </c:spPr>
          </c:dPt>
          <c:dLbls>
            <c:numFmt formatCode="General" sourceLinked="1"/>
            <c:dLbl>
              <c:idx val="0"/>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2"/>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3"/>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4"/>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5"/>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6"/>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7"/>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8"/>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9"/>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0"/>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1"/>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2"/>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3"/>
              <c:numFmt formatCode="General" sourceLinked="1"/>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showLeaderLines val="0"/>
          </c:dLbls>
          <c:cat>
            <c:strRef>
              <c:f>categories</c:f>
              <c:strCache>
                <c:ptCount val="14"/>
                <c:pt idx="0">
                  <c:v>Госучреждения</c:v>
                </c:pt>
                <c:pt idx="1">
                  <c:v>Торговля, ремонт</c:v>
                </c:pt>
                <c:pt idx="2">
                  <c:v>Образование</c:v>
                </c:pt>
                <c:pt idx="3">
                  <c:v>Операции с недвижимостью, аренда и услуги</c:v>
                </c:pt>
                <c:pt idx="4">
                  <c:v>Прочие</c:v>
                </c:pt>
                <c:pt idx="5">
                  <c:v>Сельское, лесное хозяйство, охота</c:v>
                </c:pt>
                <c:pt idx="6">
                  <c:v>Обрабатывающая промышленность</c:v>
                </c:pt>
                <c:pt idx="7">
                  <c:v>Учреждения культуры, спорта, досуга</c:v>
                </c:pt>
                <c:pt idx="8">
                  <c:v>Здравоохранение</c:v>
                </c:pt>
                <c:pt idx="9">
                  <c:v>Траспортировка и хранение</c:v>
                </c:pt>
                <c:pt idx="10">
                  <c:v>Водоснабжение</c:v>
                </c:pt>
                <c:pt idx="11">
                  <c:v>Строительство</c:v>
                </c:pt>
                <c:pt idx="12">
                  <c:v>Деятельность в области информации и связь</c:v>
                </c:pt>
                <c:pt idx="13">
                  <c:v>Кафе</c:v>
                </c:pt>
              </c:strCache>
            </c:strRef>
          </c:cat>
          <c:val>
            <c:numRef>
              <c:f>0</c:f>
              <c:numCache>
                <c:formatCode>General</c:formatCode>
                <c:ptCount val="14"/>
                <c:pt idx="0">
                  <c:v>24</c:v>
                </c:pt>
                <c:pt idx="1">
                  <c:v>21</c:v>
                </c:pt>
                <c:pt idx="2">
                  <c:v>18</c:v>
                </c:pt>
                <c:pt idx="3">
                  <c:v>13</c:v>
                </c:pt>
                <c:pt idx="4">
                  <c:v>12</c:v>
                </c:pt>
                <c:pt idx="5">
                  <c:v>10</c:v>
                </c:pt>
                <c:pt idx="6">
                  <c:v>9</c:v>
                </c:pt>
                <c:pt idx="7">
                  <c:v>8</c:v>
                </c:pt>
                <c:pt idx="8">
                  <c:v>7</c:v>
                </c:pt>
                <c:pt idx="9">
                  <c:v>6</c:v>
                </c:pt>
                <c:pt idx="10">
                  <c:v>2</c:v>
                </c:pt>
                <c:pt idx="11">
                  <c:v>2</c:v>
                </c:pt>
                <c:pt idx="12">
                  <c:v>2</c:v>
                </c:pt>
                <c:pt idx="13">
                  <c:v>1</c:v>
                </c:pt>
              </c:numCache>
            </c:numRef>
          </c:val>
        </c:ser>
        <c:firstSliceAng val="0"/>
      </c:pieChart>
      <c:spPr>
        <a:solidFill>
          <a:srgbClr val="ffffff"/>
        </a:solidFill>
        <a:ln>
          <a:noFill/>
        </a:ln>
      </c:spPr>
    </c:plotArea>
    <c:legend>
      <c:legendPos val="r"/>
      <c:layout>
        <c:manualLayout>
          <c:xMode val="edge"/>
          <c:yMode val="edge"/>
          <c:x val="0.4983125"/>
          <c:y val="0.0461111111111111"/>
          <c:w val="0.475904744046503"/>
          <c:h val="0.9537726414046"/>
        </c:manualLayout>
      </c:layout>
      <c:overlay val="0"/>
      <c:spPr>
        <a:noFill/>
        <a:ln>
          <a:noFill/>
        </a:ln>
      </c:spPr>
      <c:txPr>
        <a:bodyPr/>
        <a:lstStyle/>
        <a:p>
          <a:pPr>
            <a:defRPr b="0" sz="105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Безымянные ряды 1</c:v>
                </c:pt>
              </c:strCache>
            </c:strRef>
          </c:tx>
          <c:spPr>
            <a:gradFill>
              <a:gsLst>
                <a:gs pos="0">
                  <a:srgbClr val="515157"/>
                </a:gs>
                <a:gs pos="100000">
                  <a:srgbClr val="6a6a71"/>
                </a:gs>
              </a:gsLst>
              <a:lin ang="16200000"/>
            </a:gradFill>
            <a:ln>
              <a:noFill/>
            </a:ln>
          </c:spPr>
          <c:explosion val="0"/>
          <c:dPt>
            <c:idx val="0"/>
            <c:explosion val="6"/>
            <c:spPr>
              <a:gradFill>
                <a:gsLst>
                  <a:gs pos="0">
                    <a:srgbClr val="49494c"/>
                  </a:gs>
                  <a:gs pos="100000">
                    <a:srgbClr val="5d5d64"/>
                  </a:gs>
                </a:gsLst>
                <a:lin ang="16200000"/>
              </a:gradFill>
              <a:ln>
                <a:noFill/>
              </a:ln>
            </c:spPr>
          </c:dPt>
          <c:dPt>
            <c:idx val="1"/>
            <c:explosion val="7"/>
            <c:spPr>
              <a:gradFill>
                <a:gsLst>
                  <a:gs pos="0">
                    <a:srgbClr val="6f7e57"/>
                  </a:gs>
                  <a:gs pos="100000">
                    <a:srgbClr val="91a370"/>
                  </a:gs>
                </a:gsLst>
                <a:lin ang="16200000"/>
              </a:gradFill>
              <a:ln>
                <a:noFill/>
              </a:ln>
            </c:spPr>
          </c:dPt>
          <c:dPt>
            <c:idx val="2"/>
            <c:explosion val="10"/>
            <c:spPr>
              <a:gradFill>
                <a:gsLst>
                  <a:gs pos="0">
                    <a:srgbClr val="827460"/>
                  </a:gs>
                  <a:gs pos="100000">
                    <a:srgbClr val="a8977d"/>
                  </a:gs>
                </a:gsLst>
                <a:lin ang="16200000"/>
              </a:gradFill>
              <a:ln>
                <a:noFill/>
              </a:ln>
            </c:spPr>
          </c:dPt>
          <c:dPt>
            <c:idx val="3"/>
            <c:spPr>
              <a:gradFill>
                <a:gsLst>
                  <a:gs pos="0">
                    <a:srgbClr val="5d6f7e"/>
                  </a:gs>
                  <a:gs pos="100000">
                    <a:srgbClr val="7892a3"/>
                  </a:gs>
                </a:gsLst>
                <a:lin ang="16200000"/>
              </a:gradFill>
              <a:ln>
                <a:noFill/>
              </a:ln>
            </c:spPr>
          </c:dPt>
          <c:dPt>
            <c:idx val="4"/>
            <c:spPr>
              <a:gradFill>
                <a:gsLst>
                  <a:gs pos="0">
                    <a:srgbClr val="6b553d"/>
                  </a:gs>
                  <a:gs pos="100000">
                    <a:srgbClr val="8c6f4f"/>
                  </a:gs>
                </a:gsLst>
                <a:lin ang="16200000"/>
              </a:gradFill>
              <a:ln>
                <a:noFill/>
              </a:ln>
            </c:spPr>
          </c:dPt>
          <c:dPt>
            <c:idx val="5"/>
            <c:spPr>
              <a:gradFill>
                <a:gsLst>
                  <a:gs pos="0">
                    <a:srgbClr val="61414b"/>
                  </a:gs>
                  <a:gs pos="100000">
                    <a:srgbClr val="7e5561"/>
                  </a:gs>
                </a:gsLst>
                <a:lin ang="16200000"/>
              </a:gradFill>
              <a:ln>
                <a:noFill/>
              </a:ln>
            </c:spPr>
          </c:dPt>
          <c:dPt>
            <c:idx val="6"/>
            <c:spPr>
              <a:gradFill>
                <a:gsLst>
                  <a:gs pos="0">
                    <a:srgbClr val="777779"/>
                  </a:gs>
                  <a:gs pos="100000">
                    <a:srgbClr val="9b9b9d"/>
                  </a:gs>
                </a:gsLst>
                <a:lin ang="16200000"/>
              </a:gradFill>
              <a:ln>
                <a:noFill/>
              </a:ln>
            </c:spPr>
          </c:dPt>
          <c:dPt>
            <c:idx val="7"/>
            <c:spPr>
              <a:gradFill>
                <a:gsLst>
                  <a:gs pos="0">
                    <a:srgbClr val="90997e"/>
                  </a:gs>
                  <a:gs pos="100000">
                    <a:srgbClr val="bbc7a4"/>
                  </a:gs>
                </a:gsLst>
                <a:lin ang="16200000"/>
              </a:gradFill>
              <a:ln>
                <a:noFill/>
              </a:ln>
            </c:spPr>
          </c:dPt>
          <c:dPt>
            <c:idx val="8"/>
            <c:spPr>
              <a:gradFill>
                <a:gsLst>
                  <a:gs pos="0">
                    <a:srgbClr val="9d9285"/>
                  </a:gs>
                  <a:gs pos="100000">
                    <a:srgbClr val="cbbdae"/>
                  </a:gs>
                </a:gsLst>
                <a:lin ang="16200000"/>
              </a:gradFill>
              <a:ln>
                <a:noFill/>
              </a:ln>
            </c:spPr>
          </c:dPt>
          <c:dLbls>
            <c:numFmt formatCode="0.0" sourceLinked="1"/>
            <c:dLbl>
              <c:idx val="0"/>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1"/>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2"/>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3"/>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4"/>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5"/>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6"/>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7"/>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8"/>
              <c:numFmt formatCode="0.0"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bestFit"/>
            <c:showLegendKey val="0"/>
            <c:showVal val="0"/>
            <c:showCatName val="0"/>
            <c:showSerName val="0"/>
            <c:showPercent val="0"/>
            <c:separator>; </c:separator>
            <c:showLeaderLines val="0"/>
          </c:dLbls>
          <c:cat>
            <c:strRef>
              <c:f>categories</c:f>
              <c:strCache>
                <c:ptCount val="9"/>
                <c:pt idx="0">
                  <c:v>Оптовая и розничная торговля</c:v>
                </c:pt>
                <c:pt idx="1">
                  <c:v>Сельское хозяйство, охота и лесное хозяйство</c:v>
                </c:pt>
                <c:pt idx="2">
                  <c:v>Транспорт и связь</c:v>
                </c:pt>
                <c:pt idx="3">
                  <c:v>Обрабатывающие производства</c:v>
                </c:pt>
                <c:pt idx="4">
                  <c:v>Операции с недвижимым имуществом</c:v>
                </c:pt>
                <c:pt idx="5">
                  <c:v>Гостиницы и рестораны</c:v>
                </c:pt>
                <c:pt idx="6">
                  <c:v>Предоставление прочих коммунальных, социальных и персональных услуг</c:v>
                </c:pt>
                <c:pt idx="7">
                  <c:v>Строительство</c:v>
                </c:pt>
                <c:pt idx="8">
                  <c:v>Прочие</c:v>
                </c:pt>
              </c:strCache>
            </c:strRef>
          </c:cat>
          <c:val>
            <c:numRef>
              <c:f>0</c:f>
              <c:numCache>
                <c:formatCode>General</c:formatCode>
                <c:ptCount val="9"/>
                <c:pt idx="0">
                  <c:v>43</c:v>
                </c:pt>
                <c:pt idx="1">
                  <c:v>17.9</c:v>
                </c:pt>
                <c:pt idx="2">
                  <c:v>14.7</c:v>
                </c:pt>
                <c:pt idx="3">
                  <c:v>8.3</c:v>
                </c:pt>
                <c:pt idx="4">
                  <c:v>4.3</c:v>
                </c:pt>
                <c:pt idx="5">
                  <c:v>3.7</c:v>
                </c:pt>
                <c:pt idx="6">
                  <c:v>3.2</c:v>
                </c:pt>
                <c:pt idx="7">
                  <c:v>2.7</c:v>
                </c:pt>
                <c:pt idx="8">
                  <c:v>2.2</c:v>
                </c:pt>
              </c:numCache>
            </c:numRef>
          </c:val>
        </c:ser>
        <c:firstSliceAng val="0"/>
      </c:pieChart>
      <c:spPr>
        <a:solidFill>
          <a:srgbClr val="ffffff"/>
        </a:solidFill>
        <a:ln>
          <a:noFill/>
        </a:ln>
      </c:spPr>
    </c:plotArea>
    <c:legend>
      <c:legendPos val="r"/>
      <c:layout>
        <c:manualLayout>
          <c:xMode val="edge"/>
          <c:yMode val="edge"/>
          <c:x val="0.506625"/>
          <c:y val="0.026"/>
          <c:w val="0.490530658166135"/>
          <c:h val="0.973219246582954"/>
        </c:manualLayout>
      </c:layout>
      <c:overlay val="0"/>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percentStacked"/>
        <c:varyColors val="0"/>
        <c:ser>
          <c:idx val="0"/>
          <c:order val="0"/>
          <c:tx>
            <c:strRef>
              <c:f>label 0</c:f>
              <c:strCache>
                <c:ptCount val="1"/>
                <c:pt idx="0">
                  <c:v>моложе трудоспособного возраста </c:v>
                </c:pt>
              </c:strCache>
            </c:strRef>
          </c:tx>
          <c:spPr>
            <a:solidFill>
              <a:srgbClr val="a7b789"/>
            </a:solidFill>
            <a:ln>
              <a:solidFill>
                <a:srgbClr val="6f6f74"/>
              </a:solidFill>
            </a:ln>
          </c:spPr>
          <c:invertIfNegative val="0"/>
          <c:dLbls>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15.8</c:v>
                </c:pt>
                <c:pt idx="1">
                  <c:v>15.8</c:v>
                </c:pt>
                <c:pt idx="2">
                  <c:v>15.9</c:v>
                </c:pt>
                <c:pt idx="3">
                  <c:v>15.1</c:v>
                </c:pt>
                <c:pt idx="4">
                  <c:v>15.5</c:v>
                </c:pt>
                <c:pt idx="5">
                  <c:v>15.4</c:v>
                </c:pt>
                <c:pt idx="6">
                  <c:v>15.5</c:v>
                </c:pt>
                <c:pt idx="7">
                  <c:v>15.6</c:v>
                </c:pt>
                <c:pt idx="8">
                  <c:v>15.7</c:v>
                </c:pt>
                <c:pt idx="9">
                  <c:v>15.7</c:v>
                </c:pt>
                <c:pt idx="10">
                  <c:v>15.6</c:v>
                </c:pt>
              </c:numCache>
            </c:numRef>
          </c:val>
        </c:ser>
        <c:ser>
          <c:idx val="1"/>
          <c:order val="1"/>
          <c:tx>
            <c:strRef>
              <c:f>label 1</c:f>
              <c:strCache>
                <c:ptCount val="1"/>
                <c:pt idx="0">
                  <c:v>в трудоспособном возрасте</c:v>
                </c:pt>
              </c:strCache>
            </c:strRef>
          </c:tx>
          <c:spPr>
            <a:solidFill>
              <a:srgbClr val="beae98"/>
            </a:solidFill>
            <a:ln>
              <a:solidFill>
                <a:srgbClr val="6f6f74"/>
              </a:solidFill>
            </a:ln>
          </c:spPr>
          <c:invertIfNegative val="0"/>
          <c:dLbls>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1</c:f>
              <c:numCache>
                <c:formatCode>General</c:formatCode>
                <c:ptCount val="11"/>
                <c:pt idx="0">
                  <c:v>57.9</c:v>
                </c:pt>
                <c:pt idx="1">
                  <c:v>58</c:v>
                </c:pt>
                <c:pt idx="2">
                  <c:v>58.5</c:v>
                </c:pt>
                <c:pt idx="3">
                  <c:v>59</c:v>
                </c:pt>
                <c:pt idx="4">
                  <c:v>56.9</c:v>
                </c:pt>
                <c:pt idx="5">
                  <c:v>56.3</c:v>
                </c:pt>
                <c:pt idx="6">
                  <c:v>55.4</c:v>
                </c:pt>
                <c:pt idx="7">
                  <c:v>53.7</c:v>
                </c:pt>
                <c:pt idx="8">
                  <c:v>52.9</c:v>
                </c:pt>
                <c:pt idx="9">
                  <c:v>51.8</c:v>
                </c:pt>
                <c:pt idx="10">
                  <c:v>50.4</c:v>
                </c:pt>
              </c:numCache>
            </c:numRef>
          </c:val>
        </c:ser>
        <c:ser>
          <c:idx val="2"/>
          <c:order val="2"/>
          <c:tx>
            <c:strRef>
              <c:f>label 2</c:f>
              <c:strCache>
                <c:ptCount val="1"/>
                <c:pt idx="0">
                  <c:v>старше трудоспособного возраста</c:v>
                </c:pt>
              </c:strCache>
            </c:strRef>
          </c:tx>
          <c:spPr>
            <a:solidFill>
              <a:srgbClr val="92a9b9"/>
            </a:solidFill>
            <a:ln>
              <a:solidFill>
                <a:srgbClr val="6f6f74"/>
              </a:solidFill>
            </a:ln>
          </c:spPr>
          <c:invertIfNegative val="0"/>
          <c:dLbls>
            <c:numFmt formatCode="General" sourceLinked="1"/>
            <c:txPr>
              <a:bodyPr/>
              <a:lstStyle/>
              <a:p>
                <a:pPr>
                  <a:defRPr b="0" sz="1000" spc="-1" strike="noStrike">
                    <a:solidFill>
                      <a:srgbClr val="000000"/>
                    </a:solidFill>
                    <a:latin typeface="Calibri"/>
                  </a:defRPr>
                </a:pPr>
              </a:p>
            </c:txPr>
            <c:dLblPos val="ctr"/>
            <c:showLegendKey val="0"/>
            <c:showVal val="0"/>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2</c:f>
              <c:numCache>
                <c:formatCode>General</c:formatCode>
                <c:ptCount val="11"/>
                <c:pt idx="0">
                  <c:v>26.3</c:v>
                </c:pt>
                <c:pt idx="1">
                  <c:v>26.2</c:v>
                </c:pt>
                <c:pt idx="2">
                  <c:v>25.6</c:v>
                </c:pt>
                <c:pt idx="3">
                  <c:v>25.9</c:v>
                </c:pt>
                <c:pt idx="4">
                  <c:v>27.6</c:v>
                </c:pt>
                <c:pt idx="5">
                  <c:v>28.3</c:v>
                </c:pt>
                <c:pt idx="6">
                  <c:v>29.1</c:v>
                </c:pt>
                <c:pt idx="7">
                  <c:v>30.7</c:v>
                </c:pt>
                <c:pt idx="8">
                  <c:v>31.4</c:v>
                </c:pt>
                <c:pt idx="9">
                  <c:v>32.5</c:v>
                </c:pt>
                <c:pt idx="10">
                  <c:v>34</c:v>
                </c:pt>
              </c:numCache>
            </c:numRef>
          </c:val>
        </c:ser>
        <c:gapWidth val="150"/>
        <c:overlap val="100"/>
        <c:axId val="76028301"/>
        <c:axId val="50093925"/>
      </c:barChart>
      <c:lineChart>
        <c:grouping val="percentStacked"/>
        <c:varyColors val="0"/>
        <c:ser>
          <c:idx val="3"/>
          <c:order val="3"/>
          <c:tx>
            <c:strRef>
              <c:f>label 3</c:f>
              <c:strCache>
                <c:ptCount val="1"/>
                <c:pt idx="0">
                  <c:v>Численность населения  всего (тыс. чел.):</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3</c:f>
              <c:numCache>
                <c:formatCode>General</c:formatCode>
                <c:ptCount val="11"/>
                <c:pt idx="0">
                  <c:v>19.3</c:v>
                </c:pt>
                <c:pt idx="1">
                  <c:v>19.1</c:v>
                </c:pt>
                <c:pt idx="2">
                  <c:v>19</c:v>
                </c:pt>
                <c:pt idx="3">
                  <c:v>18.7</c:v>
                </c:pt>
                <c:pt idx="4">
                  <c:v>18.5</c:v>
                </c:pt>
                <c:pt idx="5">
                  <c:v>18.3</c:v>
                </c:pt>
                <c:pt idx="6">
                  <c:v>18</c:v>
                </c:pt>
                <c:pt idx="7">
                  <c:v>17.9</c:v>
                </c:pt>
                <c:pt idx="8">
                  <c:v>17.8</c:v>
                </c:pt>
                <c:pt idx="9">
                  <c:v>17.7</c:v>
                </c:pt>
                <c:pt idx="10">
                  <c:v>17.4</c:v>
                </c:pt>
              </c:numCache>
            </c:numRef>
          </c:val>
          <c:smooth val="0"/>
        </c:ser>
        <c:hiLowLines>
          <c:spPr>
            <a:ln>
              <a:noFill/>
            </a:ln>
          </c:spPr>
        </c:hiLowLines>
        <c:marker val="1"/>
        <c:axId val="74425597"/>
        <c:axId val="1184844"/>
      </c:lineChart>
      <c:catAx>
        <c:axId val="76028301"/>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50093925"/>
        <c:crosses val="autoZero"/>
        <c:auto val="1"/>
        <c:lblAlgn val="ctr"/>
        <c:lblOffset val="100"/>
      </c:catAx>
      <c:valAx>
        <c:axId val="50093925"/>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76028301"/>
        <c:crosses val="autoZero"/>
      </c:valAx>
      <c:catAx>
        <c:axId val="74425597"/>
        <c:scaling>
          <c:orientation val="minMax"/>
        </c:scaling>
        <c:delete val="1"/>
        <c:axPos val="t"/>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1184844"/>
        <c:auto val="1"/>
        <c:lblAlgn val="ctr"/>
        <c:lblOffset val="100"/>
      </c:catAx>
      <c:valAx>
        <c:axId val="1184844"/>
        <c:scaling>
          <c:orientation val="minMax"/>
        </c:scaling>
        <c:delete val="0"/>
        <c:axPos val="r"/>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74425597"/>
        <c:crosses val="max"/>
      </c:valAx>
      <c:spPr>
        <a:solidFill>
          <a:srgbClr val="ffffff"/>
        </a:solidFill>
        <a:ln>
          <a:noFill/>
        </a:ln>
      </c:spPr>
    </c:plotArea>
    <c:legend>
      <c:legendPos val="b"/>
      <c:overlay val="0"/>
      <c:spPr>
        <a:noFill/>
        <a:ln>
          <a:noFill/>
        </a:ln>
      </c:spPr>
      <c:txPr>
        <a:bodyPr/>
        <a:lstStyle/>
        <a:p>
          <a:pPr>
            <a:defRPr b="0" sz="10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Число родившихся, чел.</c:v>
                </c:pt>
              </c:strCache>
            </c:strRef>
          </c:tx>
          <c:spPr>
            <a:solidFill>
              <a:srgbClr val="6f6f74"/>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0"/>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228</c:v>
                </c:pt>
                <c:pt idx="1">
                  <c:v>215</c:v>
                </c:pt>
                <c:pt idx="2">
                  <c:v>214</c:v>
                </c:pt>
                <c:pt idx="3">
                  <c:v>204</c:v>
                </c:pt>
                <c:pt idx="4">
                  <c:v>200</c:v>
                </c:pt>
                <c:pt idx="5">
                  <c:v>210</c:v>
                </c:pt>
                <c:pt idx="6">
                  <c:v>212</c:v>
                </c:pt>
                <c:pt idx="7">
                  <c:v>174</c:v>
                </c:pt>
                <c:pt idx="8">
                  <c:v>166</c:v>
                </c:pt>
                <c:pt idx="9">
                  <c:v>147</c:v>
                </c:pt>
              </c:numCache>
            </c:numRef>
          </c:val>
        </c:ser>
        <c:ser>
          <c:idx val="1"/>
          <c:order val="1"/>
          <c:tx>
            <c:strRef>
              <c:f>label 1</c:f>
              <c:strCache>
                <c:ptCount val="1"/>
                <c:pt idx="0">
                  <c:v>Число умерших, чел. </c:v>
                </c:pt>
              </c:strCache>
            </c:strRef>
          </c:tx>
          <c:spPr>
            <a:solidFill>
              <a:srgbClr val="beae98"/>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388</c:v>
                </c:pt>
                <c:pt idx="1">
                  <c:v>349</c:v>
                </c:pt>
                <c:pt idx="2">
                  <c:v>322</c:v>
                </c:pt>
                <c:pt idx="3">
                  <c:v>333</c:v>
                </c:pt>
                <c:pt idx="4">
                  <c:v>279</c:v>
                </c:pt>
                <c:pt idx="5">
                  <c:v>290</c:v>
                </c:pt>
                <c:pt idx="6">
                  <c:v>266</c:v>
                </c:pt>
                <c:pt idx="7">
                  <c:v>317</c:v>
                </c:pt>
                <c:pt idx="8">
                  <c:v>278</c:v>
                </c:pt>
                <c:pt idx="9">
                  <c:v>256</c:v>
                </c:pt>
              </c:numCache>
            </c:numRef>
          </c:val>
        </c:ser>
        <c:gapWidth val="75"/>
        <c:shape val="box"/>
        <c:axId val="8193387"/>
        <c:axId val="5247244"/>
        <c:axId val="0"/>
      </c:bar3DChart>
      <c:catAx>
        <c:axId val="8193387"/>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5247244"/>
        <c:crosses val="autoZero"/>
        <c:auto val="1"/>
        <c:lblAlgn val="ctr"/>
        <c:lblOffset val="100"/>
      </c:catAx>
      <c:valAx>
        <c:axId val="5247244"/>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8193387"/>
        <c:crosses val="autoZero"/>
      </c:valAx>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200" spc="-1" strike="noStrike">
                <a:solidFill>
                  <a:srgbClr val="000000"/>
                </a:solidFill>
                <a:latin typeface="Times New Roman"/>
              </a:defRPr>
            </a:pPr>
            <a:r>
              <a:rPr b="1" sz="1200" spc="-1" strike="noStrike">
                <a:solidFill>
                  <a:srgbClr val="000000"/>
                </a:solidFill>
                <a:latin typeface="Times New Roman"/>
              </a:rPr>
              <a:t>2008 г.</a:t>
            </a:r>
          </a:p>
        </c:rich>
      </c:tx>
      <c:overlay val="0"/>
      <c:spPr>
        <a:noFill/>
        <a:ln>
          <a:noFill/>
        </a:ln>
      </c:spPr>
    </c:title>
    <c:autoTitleDeleted val="0"/>
    <c:plotArea>
      <c:pieChart>
        <c:varyColors val="1"/>
        <c:ser>
          <c:idx val="0"/>
          <c:order val="0"/>
          <c:tx>
            <c:strRef>
              <c:f>label 0</c:f>
              <c:strCache>
                <c:ptCount val="1"/>
                <c:pt idx="0">
                  <c:v>Безымянные ряды 1</c:v>
                </c:pt>
              </c:strCache>
            </c:strRef>
          </c:tx>
          <c:spPr>
            <a:solidFill>
              <a:srgbClr val="6f6f74"/>
            </a:solidFill>
            <a:ln>
              <a:noFill/>
            </a:ln>
          </c:spPr>
          <c:explosion val="0"/>
          <c:dPt>
            <c:idx val="0"/>
            <c:spPr>
              <a:solidFill>
                <a:srgbClr val="626267"/>
              </a:solidFill>
              <a:ln>
                <a:noFill/>
              </a:ln>
            </c:spPr>
          </c:dPt>
          <c:dPt>
            <c:idx val="1"/>
            <c:spPr>
              <a:solidFill>
                <a:srgbClr val="94a37a"/>
              </a:solidFill>
              <a:ln>
                <a:noFill/>
              </a:ln>
            </c:spPr>
          </c:dPt>
          <c:dPt>
            <c:idx val="2"/>
            <c:spPr>
              <a:solidFill>
                <a:srgbClr val="a99b87"/>
              </a:solidFill>
              <a:ln>
                <a:noFill/>
              </a:ln>
            </c:spPr>
          </c:dPt>
          <c:dPt>
            <c:idx val="3"/>
            <c:spPr>
              <a:solidFill>
                <a:srgbClr val="8296a4"/>
              </a:solidFill>
              <a:ln>
                <a:noFill/>
              </a:ln>
            </c:spPr>
          </c:dPt>
          <c:dPt>
            <c:idx val="4"/>
            <c:spPr>
              <a:solidFill>
                <a:srgbClr val="618197"/>
              </a:solidFill>
              <a:ln>
                <a:noFill/>
              </a:ln>
            </c:spPr>
          </c:dPt>
          <c:dPt>
            <c:idx val="5"/>
            <c:spPr>
              <a:solidFill>
                <a:srgbClr val="7d5d67"/>
              </a:solidFill>
              <a:ln>
                <a:noFill/>
              </a:ln>
            </c:spPr>
          </c:dPt>
          <c:dPt>
            <c:idx val="6"/>
            <c:spPr>
              <a:solidFill>
                <a:srgbClr val="a0a0a3"/>
              </a:solidFill>
              <a:ln>
                <a:noFill/>
              </a:ln>
            </c:spPr>
          </c:dPt>
          <c:dPt>
            <c:idx val="7"/>
            <c:spPr>
              <a:solidFill>
                <a:srgbClr val="c0caae"/>
              </a:solidFill>
              <a:ln>
                <a:noFill/>
              </a:ln>
            </c:spPr>
          </c:dPt>
          <c:dLbls>
            <c:numFmt formatCode="General" sourceLinked="1"/>
            <c:dLbl>
              <c:idx val="0"/>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1"/>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2"/>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3"/>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4"/>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5"/>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6"/>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7"/>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showLeaderLines val="0"/>
          </c:dLbls>
          <c:cat>
            <c:strRef>
              <c:f>categories</c:f>
              <c:strCache>
                <c:ptCount val="8"/>
                <c:pt idx="0">
                  <c:v>Смертность от некоторых инфекционных и паразитарных болезней </c:v>
                </c:pt>
                <c:pt idx="1">
                  <c:v>Смертность от туберкулеза (все формы)</c:v>
                </c:pt>
                <c:pt idx="2">
                  <c:v>Смертность от новообразований</c:v>
                </c:pt>
                <c:pt idx="3">
                  <c:v>В том числе злокачественных</c:v>
                </c:pt>
                <c:pt idx="4">
                  <c:v>Смертность от болезней системы кровообращения</c:v>
                </c:pt>
                <c:pt idx="5">
                  <c:v>Смертность от болезней органов дыхания</c:v>
                </c:pt>
                <c:pt idx="6">
                  <c:v>Смертность от болезней системы пищеварения</c:v>
                </c:pt>
                <c:pt idx="7">
                  <c:v>Смертность от внешних причин</c:v>
                </c:pt>
              </c:strCache>
            </c:strRef>
          </c:cat>
          <c:val>
            <c:numRef>
              <c:f>0</c:f>
              <c:numCache>
                <c:formatCode>General</c:formatCode>
                <c:ptCount val="8"/>
                <c:pt idx="0">
                  <c:v>9.7</c:v>
                </c:pt>
                <c:pt idx="1">
                  <c:v>52</c:v>
                </c:pt>
                <c:pt idx="2">
                  <c:v>244.3</c:v>
                </c:pt>
                <c:pt idx="4">
                  <c:v>1263.2</c:v>
                </c:pt>
                <c:pt idx="5">
                  <c:v>41.6</c:v>
                </c:pt>
                <c:pt idx="6">
                  <c:v>119.6</c:v>
                </c:pt>
                <c:pt idx="7">
                  <c:v>249.5</c:v>
                </c:pt>
              </c:numCache>
            </c:numRef>
          </c:val>
        </c:ser>
        <c:firstSliceAng val="0"/>
      </c:pieChart>
      <c:spPr>
        <a:solidFill>
          <a:srgbClr val="ffffff"/>
        </a:solidFill>
        <a:ln>
          <a:noFill/>
        </a:ln>
      </c:spPr>
    </c:plotArea>
    <c:plotVisOnly val="1"/>
    <c:dispBlanksAs val="gap"/>
  </c:chart>
  <c:spPr>
    <a:solidFill>
      <a:srgbClr val="ffffff"/>
    </a:solidFill>
    <a:ln w="9360">
      <a:noFill/>
    </a:ln>
  </c:spPr>
</c:chartSpace>
</file>

<file path=word/charts/chart1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200" spc="-1" strike="noStrike">
                <a:solidFill>
                  <a:srgbClr val="000000"/>
                </a:solidFill>
                <a:latin typeface="Times New Roman"/>
              </a:defRPr>
            </a:pPr>
            <a:r>
              <a:rPr b="1" sz="1200" spc="-1" strike="noStrike">
                <a:solidFill>
                  <a:srgbClr val="000000"/>
                </a:solidFill>
                <a:latin typeface="Times New Roman"/>
              </a:rPr>
              <a:t>2017 г.</a:t>
            </a:r>
          </a:p>
        </c:rich>
      </c:tx>
      <c:overlay val="0"/>
      <c:spPr>
        <a:noFill/>
        <a:ln>
          <a:noFill/>
        </a:ln>
      </c:spPr>
    </c:title>
    <c:autoTitleDeleted val="0"/>
    <c:plotArea>
      <c:pieChart>
        <c:varyColors val="1"/>
        <c:ser>
          <c:idx val="0"/>
          <c:order val="0"/>
          <c:tx>
            <c:strRef>
              <c:f>label 0</c:f>
              <c:strCache>
                <c:ptCount val="1"/>
                <c:pt idx="0">
                  <c:v>Безымянные ряды 1</c:v>
                </c:pt>
              </c:strCache>
            </c:strRef>
          </c:tx>
          <c:spPr>
            <a:solidFill>
              <a:srgbClr val="6f6f74"/>
            </a:solidFill>
            <a:ln>
              <a:noFill/>
            </a:ln>
          </c:spPr>
          <c:explosion val="0"/>
          <c:dPt>
            <c:idx val="0"/>
            <c:spPr>
              <a:solidFill>
                <a:srgbClr val="626267"/>
              </a:solidFill>
              <a:ln>
                <a:noFill/>
              </a:ln>
            </c:spPr>
          </c:dPt>
          <c:dPt>
            <c:idx val="1"/>
            <c:spPr>
              <a:solidFill>
                <a:srgbClr val="94a37a"/>
              </a:solidFill>
              <a:ln>
                <a:noFill/>
              </a:ln>
            </c:spPr>
          </c:dPt>
          <c:dPt>
            <c:idx val="2"/>
            <c:spPr>
              <a:solidFill>
                <a:srgbClr val="a99b87"/>
              </a:solidFill>
              <a:ln>
                <a:noFill/>
              </a:ln>
            </c:spPr>
          </c:dPt>
          <c:dPt>
            <c:idx val="3"/>
            <c:spPr>
              <a:solidFill>
                <a:srgbClr val="8296a4"/>
              </a:solidFill>
              <a:ln>
                <a:noFill/>
              </a:ln>
            </c:spPr>
          </c:dPt>
          <c:dPt>
            <c:idx val="4"/>
            <c:spPr>
              <a:solidFill>
                <a:srgbClr val="618197"/>
              </a:solidFill>
              <a:ln>
                <a:noFill/>
              </a:ln>
            </c:spPr>
          </c:dPt>
          <c:dPt>
            <c:idx val="5"/>
            <c:spPr>
              <a:solidFill>
                <a:srgbClr val="7d5d67"/>
              </a:solidFill>
              <a:ln>
                <a:noFill/>
              </a:ln>
            </c:spPr>
          </c:dPt>
          <c:dPt>
            <c:idx val="6"/>
            <c:spPr>
              <a:solidFill>
                <a:srgbClr val="a0a0a3"/>
              </a:solidFill>
              <a:ln>
                <a:noFill/>
              </a:ln>
            </c:spPr>
          </c:dPt>
          <c:dPt>
            <c:idx val="7"/>
            <c:spPr>
              <a:solidFill>
                <a:srgbClr val="c0caae"/>
              </a:solidFill>
              <a:ln>
                <a:noFill/>
              </a:ln>
            </c:spPr>
          </c:dPt>
          <c:dLbls>
            <c:numFmt formatCode="General" sourceLinked="1"/>
            <c:dLbl>
              <c:idx val="0"/>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1"/>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2"/>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3"/>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4"/>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5"/>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6"/>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dLbl>
              <c:idx val="7"/>
              <c:numFmt formatCode="General" sourceLinked="1"/>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dLbl>
            <c:txPr>
              <a:bodyPr/>
              <a:lstStyle/>
              <a:p>
                <a:pPr>
                  <a:defRPr b="0" sz="1000" spc="-1" strike="noStrike">
                    <a:solidFill>
                      <a:srgbClr val="000000"/>
                    </a:solidFill>
                    <a:latin typeface="Calibri"/>
                  </a:defRPr>
                </a:pPr>
              </a:p>
            </c:txPr>
            <c:dLblPos val="bestFit"/>
            <c:showLegendKey val="0"/>
            <c:showVal val="0"/>
            <c:showCatName val="1"/>
            <c:showSerName val="0"/>
            <c:showPercent val="1"/>
            <c:separator>
</c:separator>
            <c:showLeaderLines val="0"/>
          </c:dLbls>
          <c:cat>
            <c:strRef>
              <c:f>categories</c:f>
              <c:strCache>
                <c:ptCount val="8"/>
                <c:pt idx="0">
                  <c:v>Смертность от некоторых инфекционных и паразитарных болезней </c:v>
                </c:pt>
                <c:pt idx="1">
                  <c:v>Смертность от туберкулеза (все формы)</c:v>
                </c:pt>
                <c:pt idx="2">
                  <c:v>Смертность от новообразований</c:v>
                </c:pt>
                <c:pt idx="3">
                  <c:v>В том числе злокачественных</c:v>
                </c:pt>
                <c:pt idx="4">
                  <c:v>Смертность от болезней системы кровообращения</c:v>
                </c:pt>
                <c:pt idx="5">
                  <c:v>Смертность от болезней органов дыхания</c:v>
                </c:pt>
                <c:pt idx="6">
                  <c:v>Смертность от болезней системы пищеварения</c:v>
                </c:pt>
                <c:pt idx="7">
                  <c:v>Смертность от внешних причин</c:v>
                </c:pt>
              </c:strCache>
            </c:strRef>
          </c:cat>
          <c:val>
            <c:numRef>
              <c:f>0</c:f>
              <c:numCache>
                <c:formatCode>General</c:formatCode>
                <c:ptCount val="8"/>
                <c:pt idx="0">
                  <c:v>28.2</c:v>
                </c:pt>
                <c:pt idx="1">
                  <c:v>16.9</c:v>
                </c:pt>
                <c:pt idx="2">
                  <c:v>169.3</c:v>
                </c:pt>
                <c:pt idx="4">
                  <c:v>897.4</c:v>
                </c:pt>
                <c:pt idx="5">
                  <c:v>11.3</c:v>
                </c:pt>
                <c:pt idx="6">
                  <c:v>73.4</c:v>
                </c:pt>
                <c:pt idx="7">
                  <c:v>124.2</c:v>
                </c:pt>
              </c:numCache>
            </c:numRef>
          </c:val>
        </c:ser>
        <c:firstSliceAng val="0"/>
      </c:pieChart>
      <c:spPr>
        <a:solidFill>
          <a:srgbClr val="ffffff"/>
        </a:solidFill>
        <a:ln>
          <a:noFill/>
        </a:ln>
      </c:spPr>
    </c:plotArea>
    <c:plotVisOnly val="1"/>
    <c:dispBlanksAs val="gap"/>
  </c:chart>
  <c:spPr>
    <a:solidFill>
      <a:srgbClr val="ffffff"/>
    </a:solidFill>
    <a:ln w="9360">
      <a:noFill/>
    </a:ln>
  </c:spPr>
</c:chartSpace>
</file>

<file path=word/charts/chart15.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Число прибывших, чел.</c:v>
                </c:pt>
              </c:strCache>
            </c:strRef>
          </c:tx>
          <c:spPr>
            <a:solidFill>
              <a:srgbClr val="94a37a"/>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0"/>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299</c:v>
                </c:pt>
                <c:pt idx="1">
                  <c:v>230</c:v>
                </c:pt>
                <c:pt idx="2">
                  <c:v>233</c:v>
                </c:pt>
                <c:pt idx="3">
                  <c:v>407</c:v>
                </c:pt>
                <c:pt idx="4">
                  <c:v>487</c:v>
                </c:pt>
                <c:pt idx="5">
                  <c:v>472</c:v>
                </c:pt>
                <c:pt idx="6">
                  <c:v>551</c:v>
                </c:pt>
                <c:pt idx="7">
                  <c:v>656</c:v>
                </c:pt>
                <c:pt idx="8">
                  <c:v>645</c:v>
                </c:pt>
                <c:pt idx="9">
                  <c:v>514</c:v>
                </c:pt>
              </c:numCache>
            </c:numRef>
          </c:val>
        </c:ser>
        <c:ser>
          <c:idx val="1"/>
          <c:order val="1"/>
          <c:tx>
            <c:strRef>
              <c:f>label 1</c:f>
              <c:strCache>
                <c:ptCount val="1"/>
                <c:pt idx="0">
                  <c:v>Число выбывших, чел.</c:v>
                </c:pt>
              </c:strCache>
            </c:strRef>
          </c:tx>
          <c:spPr>
            <a:solidFill>
              <a:srgbClr val="c0caae"/>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332</c:v>
                </c:pt>
                <c:pt idx="1">
                  <c:v>296</c:v>
                </c:pt>
                <c:pt idx="2">
                  <c:v>318</c:v>
                </c:pt>
                <c:pt idx="3">
                  <c:v>503</c:v>
                </c:pt>
                <c:pt idx="4">
                  <c:v>616</c:v>
                </c:pt>
                <c:pt idx="5">
                  <c:v>609</c:v>
                </c:pt>
                <c:pt idx="6">
                  <c:v>637</c:v>
                </c:pt>
                <c:pt idx="7">
                  <c:v>658</c:v>
                </c:pt>
                <c:pt idx="8">
                  <c:v>630</c:v>
                </c:pt>
                <c:pt idx="9">
                  <c:v>651</c:v>
                </c:pt>
              </c:numCache>
            </c:numRef>
          </c:val>
        </c:ser>
        <c:gapWidth val="150"/>
        <c:shape val="box"/>
        <c:axId val="58265592"/>
        <c:axId val="96835335"/>
        <c:axId val="0"/>
      </c:bar3DChart>
      <c:catAx>
        <c:axId val="5826559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96835335"/>
        <c:crosses val="autoZero"/>
        <c:auto val="1"/>
        <c:lblAlgn val="ctr"/>
        <c:lblOffset val="100"/>
      </c:catAx>
      <c:valAx>
        <c:axId val="96835335"/>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58265592"/>
        <c:crosses val="autoZero"/>
      </c:valAx>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6.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Коэффициент миграционного прироста убыли на 1000 чел. населения</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-1.7</c:v>
                </c:pt>
                <c:pt idx="1">
                  <c:v>-3.5</c:v>
                </c:pt>
                <c:pt idx="2">
                  <c:v>-4.5</c:v>
                </c:pt>
                <c:pt idx="3">
                  <c:v>-5.2</c:v>
                </c:pt>
                <c:pt idx="4">
                  <c:v>-7</c:v>
                </c:pt>
                <c:pt idx="5">
                  <c:v>-7.5</c:v>
                </c:pt>
                <c:pt idx="6">
                  <c:v>-4.8</c:v>
                </c:pt>
                <c:pt idx="7">
                  <c:v>-0.1</c:v>
                </c:pt>
                <c:pt idx="8">
                  <c:v>0.9</c:v>
                </c:pt>
                <c:pt idx="9">
                  <c:v>-7.8</c:v>
                </c:pt>
              </c:numCache>
            </c:numRef>
          </c:val>
          <c:smooth val="0"/>
        </c:ser>
        <c:hiLowLines>
          <c:spPr>
            <a:ln>
              <a:noFill/>
            </a:ln>
          </c:spPr>
        </c:hiLowLines>
        <c:marker val="1"/>
        <c:axId val="36913200"/>
        <c:axId val="51515683"/>
      </c:lineChart>
      <c:catAx>
        <c:axId val="36913200"/>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51515683"/>
        <c:crosses val="autoZero"/>
        <c:auto val="1"/>
        <c:lblAlgn val="ctr"/>
        <c:lblOffset val="100"/>
      </c:catAx>
      <c:valAx>
        <c:axId val="51515683"/>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36913200"/>
        <c:crosses val="autoZero"/>
        <c:crossBetween val="midCat"/>
      </c:valAx>
      <c:spPr>
        <a:solidFill>
          <a:srgbClr val="ffffff"/>
        </a:solidFill>
        <a:ln>
          <a:noFill/>
        </a:ln>
      </c:spPr>
    </c:plotArea>
    <c:plotVisOnly val="1"/>
    <c:dispBlanksAs val="gap"/>
  </c:chart>
  <c:spPr>
    <a:solidFill>
      <a:srgbClr val="ffffff"/>
    </a:solidFill>
    <a:ln w="9360">
      <a:noFill/>
    </a:ln>
  </c:spPr>
</c:chartSpace>
</file>

<file path=word/charts/chart17.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Уровень регистрируемой безработицы, %</c:v>
                </c:pt>
              </c:strCache>
            </c:strRef>
          </c:tx>
          <c:spPr>
            <a:solidFill>
              <a:srgbClr val="8da5b5"/>
            </a:solidFill>
            <a:ln w="28440">
              <a:solidFill>
                <a:srgbClr val="8da5b5"/>
              </a:solidFill>
              <a:round/>
            </a:ln>
          </c:spPr>
          <c:marker>
            <c:symbol val="square"/>
            <c:size val="5"/>
            <c:spPr>
              <a:solidFill>
                <a:srgbClr val="8da5b5"/>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1.7</c:v>
                </c:pt>
                <c:pt idx="1">
                  <c:v>1.7</c:v>
                </c:pt>
                <c:pt idx="2">
                  <c:v>1.7</c:v>
                </c:pt>
                <c:pt idx="3">
                  <c:v>1.3</c:v>
                </c:pt>
                <c:pt idx="4">
                  <c:v>0.7</c:v>
                </c:pt>
                <c:pt idx="5">
                  <c:v>0.49</c:v>
                </c:pt>
                <c:pt idx="6">
                  <c:v>0.41</c:v>
                </c:pt>
                <c:pt idx="7">
                  <c:v>0.52</c:v>
                </c:pt>
                <c:pt idx="8">
                  <c:v>0.44</c:v>
                </c:pt>
                <c:pt idx="9">
                  <c:v>0.41</c:v>
                </c:pt>
              </c:numCache>
            </c:numRef>
          </c:val>
          <c:smooth val="0"/>
        </c:ser>
        <c:hiLowLines>
          <c:spPr>
            <a:ln>
              <a:noFill/>
            </a:ln>
          </c:spPr>
        </c:hiLowLines>
        <c:marker val="1"/>
        <c:axId val="26407855"/>
        <c:axId val="23270012"/>
      </c:lineChart>
      <c:catAx>
        <c:axId val="26407855"/>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23270012"/>
        <c:crosses val="autoZero"/>
        <c:auto val="1"/>
        <c:lblAlgn val="ctr"/>
        <c:lblOffset val="100"/>
      </c:catAx>
      <c:valAx>
        <c:axId val="2327001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26407855"/>
        <c:crosses val="autoZero"/>
        <c:crossBetween val="midCat"/>
      </c:valAx>
      <c:spPr>
        <a:solidFill>
          <a:srgbClr val="ffffff"/>
        </a:solidFill>
        <a:ln>
          <a:noFill/>
        </a:ln>
      </c:spPr>
    </c:plotArea>
    <c:plotVisOnly val="1"/>
    <c:dispBlanksAs val="gap"/>
  </c:chart>
  <c:spPr>
    <a:solidFill>
      <a:srgbClr val="ffffff"/>
    </a:solidFill>
    <a:ln w="9360">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0"/>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standard"/>
        <c:varyColors val="0"/>
        <c:ser>
          <c:idx val="0"/>
          <c:order val="0"/>
          <c:tx>
            <c:strRef>
              <c:f>label 0</c:f>
              <c:strCache>
                <c:ptCount val="1"/>
                <c:pt idx="0">
                  <c:v>Численность зарегистрированных безработных, чел.</c:v>
                </c:pt>
              </c:strCache>
            </c:strRef>
          </c:tx>
          <c:spPr>
            <a:solidFill>
              <a:srgbClr val="6f6f74"/>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150</c:v>
                </c:pt>
                <c:pt idx="1">
                  <c:v>153</c:v>
                </c:pt>
                <c:pt idx="2">
                  <c:v>146</c:v>
                </c:pt>
                <c:pt idx="3">
                  <c:v>110</c:v>
                </c:pt>
                <c:pt idx="4">
                  <c:v>64</c:v>
                </c:pt>
                <c:pt idx="5">
                  <c:v>45</c:v>
                </c:pt>
                <c:pt idx="6">
                  <c:v>38</c:v>
                </c:pt>
                <c:pt idx="7">
                  <c:v>46</c:v>
                </c:pt>
                <c:pt idx="8">
                  <c:v>38</c:v>
                </c:pt>
                <c:pt idx="9">
                  <c:v>35</c:v>
                </c:pt>
              </c:numCache>
            </c:numRef>
          </c:val>
        </c:ser>
        <c:ser>
          <c:idx val="1"/>
          <c:order val="1"/>
          <c:tx>
            <c:strRef>
              <c:f>label 1</c:f>
              <c:strCache>
                <c:ptCount val="1"/>
                <c:pt idx="0">
                  <c:v>Количество вакансий, ед.</c:v>
                </c:pt>
              </c:strCache>
            </c:strRef>
          </c:tx>
          <c:spPr>
            <a:solidFill>
              <a:srgbClr val="a7b789"/>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600</c:v>
                </c:pt>
                <c:pt idx="1">
                  <c:v>1213</c:v>
                </c:pt>
                <c:pt idx="2">
                  <c:v>693</c:v>
                </c:pt>
                <c:pt idx="3">
                  <c:v>554</c:v>
                </c:pt>
                <c:pt idx="4">
                  <c:v>499</c:v>
                </c:pt>
                <c:pt idx="5">
                  <c:v>607</c:v>
                </c:pt>
                <c:pt idx="6">
                  <c:v>430</c:v>
                </c:pt>
                <c:pt idx="7">
                  <c:v>525</c:v>
                </c:pt>
                <c:pt idx="8">
                  <c:v>492</c:v>
                </c:pt>
                <c:pt idx="9">
                  <c:v>441</c:v>
                </c:pt>
              </c:numCache>
            </c:numRef>
          </c:val>
        </c:ser>
        <c:gapWidth val="150"/>
        <c:shape val="box"/>
        <c:axId val="73858342"/>
        <c:axId val="46421062"/>
      </c:bar3DChart>
      <c:catAx>
        <c:axId val="7385834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46421062"/>
        <c:crosses val="autoZero"/>
        <c:auto val="1"/>
        <c:lblAlgn val="ctr"/>
        <c:lblOffset val="100"/>
      </c:catAx>
      <c:valAx>
        <c:axId val="4642106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73858342"/>
        <c:crosses val="autoZero"/>
      </c:valAx>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9.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Численность врачей на 1000 чел. населения</c:v>
                </c:pt>
              </c:strCache>
            </c:strRef>
          </c:tx>
          <c:spPr>
            <a:solidFill>
              <a:srgbClr val="6c6c71"/>
            </a:solidFill>
            <a:ln w="47520">
              <a:solidFill>
                <a:srgbClr val="6c6c71"/>
              </a:solidFill>
              <a:round/>
            </a:ln>
          </c:spPr>
          <c:marker>
            <c:symbol val="square"/>
            <c:size val="5"/>
            <c:spPr>
              <a:solidFill>
                <a:srgbClr val="6c6c71"/>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15.2</c:v>
                </c:pt>
                <c:pt idx="1">
                  <c:v>14.8</c:v>
                </c:pt>
                <c:pt idx="2">
                  <c:v>16</c:v>
                </c:pt>
                <c:pt idx="3">
                  <c:v>13</c:v>
                </c:pt>
                <c:pt idx="4">
                  <c:v>13.7</c:v>
                </c:pt>
                <c:pt idx="5">
                  <c:v>18.3</c:v>
                </c:pt>
                <c:pt idx="6">
                  <c:v>20.7</c:v>
                </c:pt>
                <c:pt idx="7">
                  <c:v>21.4</c:v>
                </c:pt>
                <c:pt idx="8">
                  <c:v>19.8</c:v>
                </c:pt>
                <c:pt idx="9">
                  <c:v>21.2</c:v>
                </c:pt>
              </c:numCache>
            </c:numRef>
          </c:val>
          <c:smooth val="0"/>
        </c:ser>
        <c:ser>
          <c:idx val="1"/>
          <c:order val="1"/>
          <c:tx>
            <c:strRef>
              <c:f>label 1</c:f>
              <c:strCache>
                <c:ptCount val="1"/>
                <c:pt idx="0">
                  <c:v>Численность среднего медицинского персонала на 1000 чел. населения</c:v>
                </c:pt>
              </c:strCache>
            </c:strRef>
          </c:tx>
          <c:spPr>
            <a:solidFill>
              <a:srgbClr val="a3b384"/>
            </a:solidFill>
            <a:ln w="47520">
              <a:solidFill>
                <a:srgbClr val="a3b384"/>
              </a:solidFill>
              <a:round/>
            </a:ln>
          </c:spPr>
          <c:marker>
            <c:symbol val="square"/>
            <c:size val="5"/>
            <c:spPr>
              <a:solidFill>
                <a:srgbClr val="a3b384"/>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88.8</c:v>
                </c:pt>
                <c:pt idx="1">
                  <c:v>83.9</c:v>
                </c:pt>
                <c:pt idx="2">
                  <c:v>86.1</c:v>
                </c:pt>
                <c:pt idx="3">
                  <c:v>77.4</c:v>
                </c:pt>
                <c:pt idx="4">
                  <c:v>76.2</c:v>
                </c:pt>
                <c:pt idx="5">
                  <c:v>74.8</c:v>
                </c:pt>
                <c:pt idx="6">
                  <c:v>82.1</c:v>
                </c:pt>
                <c:pt idx="7">
                  <c:v>76</c:v>
                </c:pt>
                <c:pt idx="8">
                  <c:v>66.8</c:v>
                </c:pt>
                <c:pt idx="9">
                  <c:v>63.1</c:v>
                </c:pt>
              </c:numCache>
            </c:numRef>
          </c:val>
          <c:smooth val="0"/>
        </c:ser>
        <c:hiLowLines>
          <c:spPr>
            <a:ln>
              <a:noFill/>
            </a:ln>
          </c:spPr>
        </c:hiLowLines>
        <c:marker val="1"/>
        <c:axId val="24289464"/>
        <c:axId val="53989484"/>
      </c:lineChart>
      <c:catAx>
        <c:axId val="2428946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53989484"/>
        <c:crosses val="autoZero"/>
        <c:auto val="1"/>
        <c:lblAlgn val="ctr"/>
        <c:lblOffset val="100"/>
      </c:catAx>
      <c:valAx>
        <c:axId val="53989484"/>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24289464"/>
        <c:crosses val="autoZero"/>
        <c:crossBetween val="midCat"/>
      </c:valAx>
      <c:spPr>
        <a:solidFill>
          <a:srgbClr val="ffffff"/>
        </a:solid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zero"/>
  </c:chart>
  <c:spPr>
    <a:solidFill>
      <a:srgbClr val="ffffff"/>
    </a:solid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cked"/>
        <c:varyColors val="0"/>
        <c:ser>
          <c:idx val="0"/>
          <c:order val="0"/>
          <c:tx>
            <c:strRef>
              <c:f>label 0</c:f>
              <c:strCache>
                <c:ptCount val="1"/>
                <c:pt idx="0">
                  <c:v>отгрузка товаров собственного производства в промышленности, млн. руб.</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txPr>
              <a:bodyPr/>
              <a:lstStyle/>
              <a:p>
                <a:pPr>
                  <a:defRPr b="0" sz="1000" spc="-1" strike="noStrike">
                    <a:solidFill>
                      <a:srgbClr val="000000"/>
                    </a:solidFill>
                    <a:latin typeface="Calibri"/>
                  </a:defRPr>
                </a:pPr>
              </a:p>
            </c:txPr>
            <c:dLblPos val="b"/>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111.1</c:v>
                </c:pt>
                <c:pt idx="1">
                  <c:v>158.5</c:v>
                </c:pt>
                <c:pt idx="2">
                  <c:v>215.3</c:v>
                </c:pt>
                <c:pt idx="3">
                  <c:v>355.1</c:v>
                </c:pt>
                <c:pt idx="4">
                  <c:v>251</c:v>
                </c:pt>
                <c:pt idx="5">
                  <c:v>214.4</c:v>
                </c:pt>
                <c:pt idx="6">
                  <c:v>230.4</c:v>
                </c:pt>
                <c:pt idx="7">
                  <c:v>347.9</c:v>
                </c:pt>
                <c:pt idx="8">
                  <c:v>846.7</c:v>
                </c:pt>
                <c:pt idx="9">
                  <c:v>935.5</c:v>
                </c:pt>
              </c:numCache>
            </c:numRef>
          </c:val>
          <c:smooth val="0"/>
        </c:ser>
        <c:hiLowLines>
          <c:spPr>
            <a:ln>
              <a:noFill/>
            </a:ln>
          </c:spPr>
        </c:hiLowLines>
        <c:marker val="1"/>
        <c:axId val="92207016"/>
        <c:axId val="93865620"/>
      </c:lineChart>
      <c:lineChart>
        <c:grouping val="stacked"/>
        <c:varyColors val="0"/>
        <c:ser>
          <c:idx val="1"/>
          <c:order val="1"/>
          <c:tx>
            <c:strRef>
              <c:f>label 1</c:f>
              <c:strCache>
                <c:ptCount val="1"/>
                <c:pt idx="0">
                  <c:v>темпы роста отгрузки товаров собственного производства в промышленности, %</c:v>
                </c:pt>
              </c:strCache>
            </c:strRef>
          </c:tx>
          <c:spPr>
            <a:solidFill>
              <a:srgbClr val="a3b384"/>
            </a:solidFill>
            <a:ln w="28440">
              <a:solidFill>
                <a:srgbClr val="a3b384"/>
              </a:solidFill>
              <a:round/>
            </a:ln>
          </c:spPr>
          <c:marker>
            <c:symbol val="square"/>
            <c:size val="5"/>
            <c:spPr>
              <a:solidFill>
                <a:srgbClr val="a3b384"/>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96.1</c:v>
                </c:pt>
                <c:pt idx="1">
                  <c:v>142.7</c:v>
                </c:pt>
                <c:pt idx="2">
                  <c:v>135.8</c:v>
                </c:pt>
                <c:pt idx="3">
                  <c:v>164.9</c:v>
                </c:pt>
                <c:pt idx="4">
                  <c:v>70.7</c:v>
                </c:pt>
                <c:pt idx="5">
                  <c:v>85.4</c:v>
                </c:pt>
                <c:pt idx="6">
                  <c:v>107.5</c:v>
                </c:pt>
                <c:pt idx="7">
                  <c:v>151</c:v>
                </c:pt>
                <c:pt idx="8">
                  <c:v>243.4</c:v>
                </c:pt>
                <c:pt idx="9">
                  <c:v>110.5</c:v>
                </c:pt>
              </c:numCache>
            </c:numRef>
          </c:val>
          <c:smooth val="0"/>
        </c:ser>
        <c:hiLowLines>
          <c:spPr>
            <a:ln>
              <a:noFill/>
            </a:ln>
          </c:spPr>
        </c:hiLowLines>
        <c:marker val="1"/>
        <c:axId val="44248531"/>
        <c:axId val="94086941"/>
      </c:lineChart>
      <c:catAx>
        <c:axId val="92207016"/>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93865620"/>
        <c:crosses val="autoZero"/>
        <c:auto val="1"/>
        <c:lblAlgn val="ctr"/>
        <c:lblOffset val="100"/>
      </c:catAx>
      <c:valAx>
        <c:axId val="9386562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92207016"/>
        <c:crosses val="autoZero"/>
        <c:crossBetween val="midCat"/>
      </c:valAx>
      <c:catAx>
        <c:axId val="44248531"/>
        <c:scaling>
          <c:orientation val="minMax"/>
        </c:scaling>
        <c:delete val="1"/>
        <c:axPos val="t"/>
        <c:numFmt formatCode="[$-419]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94086941"/>
        <c:auto val="1"/>
        <c:lblAlgn val="ctr"/>
        <c:lblOffset val="100"/>
      </c:catAx>
      <c:valAx>
        <c:axId val="94086941"/>
        <c:scaling>
          <c:orientation val="minMax"/>
        </c:scaling>
        <c:delete val="0"/>
        <c:axPos val="r"/>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44248531"/>
        <c:crosses val="max"/>
        <c:crossBetween val="midCat"/>
      </c:valAx>
      <c:spPr>
        <a:solidFill>
          <a:srgbClr val="ffffff"/>
        </a:solidFill>
        <a:ln>
          <a:noFill/>
        </a:ln>
      </c:spPr>
    </c:plotArea>
    <c:legend>
      <c:legendPos val="r"/>
      <c:layout>
        <c:manualLayout>
          <c:xMode val="edge"/>
          <c:yMode val="edge"/>
          <c:x val="0.01825"/>
          <c:y val="0.846888888888889"/>
          <c:w val="0.980686292893306"/>
          <c:h val="0.124013779308812"/>
        </c:manualLayout>
      </c:layout>
      <c:overlay val="0"/>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0.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Общая заболеваемость (болезненность) на 1000 нас.  </c:v>
                </c:pt>
              </c:strCache>
            </c:strRef>
          </c:tx>
          <c:spPr>
            <a:solidFill>
              <a:srgbClr val="8da5b5"/>
            </a:solidFill>
            <a:ln w="28440">
              <a:solidFill>
                <a:srgbClr val="8da5b5"/>
              </a:solidFill>
              <a:round/>
            </a:ln>
          </c:spPr>
          <c:marker>
            <c:symbol val="square"/>
            <c:size val="5"/>
            <c:spPr>
              <a:solidFill>
                <a:srgbClr val="8da5b5"/>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trendline>
            <c:spPr>
              <a:ln w="12600">
                <a:solidFill>
                  <a:srgbClr val="c00000"/>
                </a:solidFill>
                <a:round/>
              </a:ln>
            </c:spPr>
            <c:trendlineType val="linear"/>
            <c:forward val="0"/>
            <c:backward val="0"/>
            <c:dispRSqr val="0"/>
            <c:dispEq val="0"/>
          </c:trendline>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1328.4</c:v>
                </c:pt>
                <c:pt idx="1">
                  <c:v>1331.7</c:v>
                </c:pt>
                <c:pt idx="2">
                  <c:v>1195</c:v>
                </c:pt>
                <c:pt idx="3">
                  <c:v>1327.9</c:v>
                </c:pt>
                <c:pt idx="4">
                  <c:v>1384.7</c:v>
                </c:pt>
                <c:pt idx="5">
                  <c:v>1373.1</c:v>
                </c:pt>
                <c:pt idx="6">
                  <c:v>1258.8</c:v>
                </c:pt>
                <c:pt idx="7">
                  <c:v>1298.1</c:v>
                </c:pt>
                <c:pt idx="8">
                  <c:v>1262</c:v>
                </c:pt>
                <c:pt idx="9">
                  <c:v>1363.6</c:v>
                </c:pt>
                <c:pt idx="10">
                  <c:v>1414.8</c:v>
                </c:pt>
              </c:numCache>
            </c:numRef>
          </c:val>
          <c:smooth val="0"/>
        </c:ser>
        <c:hiLowLines>
          <c:spPr>
            <a:ln>
              <a:noFill/>
            </a:ln>
          </c:spPr>
        </c:hiLowLines>
        <c:marker val="1"/>
        <c:axId val="27680377"/>
        <c:axId val="49236312"/>
      </c:lineChart>
      <c:catAx>
        <c:axId val="27680377"/>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9236312"/>
        <c:crosses val="autoZero"/>
        <c:auto val="1"/>
        <c:lblAlgn val="ctr"/>
        <c:lblOffset val="100"/>
      </c:catAx>
      <c:valAx>
        <c:axId val="4923631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27680377"/>
        <c:crosses val="autoZero"/>
        <c:crossBetween val="midCat"/>
      </c:valAx>
      <c:spPr>
        <a:solidFill>
          <a:srgbClr val="ffffff"/>
        </a:solidFill>
        <a:ln>
          <a:noFill/>
        </a:ln>
      </c:spPr>
    </c:plotArea>
    <c:plotVisOnly val="1"/>
    <c:dispBlanksAs val="gap"/>
  </c:chart>
  <c:spPr>
    <a:solidFill>
      <a:srgbClr val="ffffff"/>
    </a:solidFill>
    <a:ln w="9360">
      <a:noFill/>
    </a:ln>
  </c:spPr>
</c:chartSpace>
</file>

<file path=word/charts/chart21.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Болезни системы кровообращения</c:v>
                </c:pt>
              </c:strCache>
            </c:strRef>
          </c:tx>
          <c:spPr>
            <a:solidFill>
              <a:srgbClr val="90a076"/>
            </a:solidFill>
            <a:ln w="28440">
              <a:solidFill>
                <a:srgbClr val="90a076"/>
              </a:solidFill>
              <a:round/>
            </a:ln>
          </c:spPr>
          <c:marker>
            <c:symbol val="square"/>
            <c:size val="5"/>
            <c:spPr>
              <a:solidFill>
                <a:srgbClr val="90a076"/>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204.9</c:v>
                </c:pt>
                <c:pt idx="1">
                  <c:v>223.2</c:v>
                </c:pt>
                <c:pt idx="2">
                  <c:v>193.6</c:v>
                </c:pt>
                <c:pt idx="3">
                  <c:v>207.7</c:v>
                </c:pt>
                <c:pt idx="4">
                  <c:v>220</c:v>
                </c:pt>
                <c:pt idx="5">
                  <c:v>218.6</c:v>
                </c:pt>
                <c:pt idx="6">
                  <c:v>205.3</c:v>
                </c:pt>
                <c:pt idx="7">
                  <c:v>213.5</c:v>
                </c:pt>
                <c:pt idx="8">
                  <c:v>207.8</c:v>
                </c:pt>
                <c:pt idx="9">
                  <c:v>218.2</c:v>
                </c:pt>
                <c:pt idx="10">
                  <c:v>242.2</c:v>
                </c:pt>
              </c:numCache>
            </c:numRef>
          </c:val>
          <c:smooth val="0"/>
        </c:ser>
        <c:ser>
          <c:idx val="1"/>
          <c:order val="1"/>
          <c:tx>
            <c:strRef>
              <c:f>label 1</c:f>
              <c:strCache>
                <c:ptCount val="1"/>
                <c:pt idx="0">
                  <c:v>Новообразования</c:v>
                </c:pt>
              </c:strCache>
            </c:strRef>
          </c:tx>
          <c:spPr>
            <a:solidFill>
              <a:srgbClr val="a69783"/>
            </a:solidFill>
            <a:ln w="28440">
              <a:solidFill>
                <a:srgbClr val="a69783"/>
              </a:solidFill>
              <a:round/>
            </a:ln>
          </c:spPr>
          <c:marker>
            <c:symbol val="square"/>
            <c:size val="5"/>
            <c:spPr>
              <a:solidFill>
                <a:srgbClr val="a69783"/>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1</c:f>
              <c:numCache>
                <c:formatCode>General</c:formatCode>
                <c:ptCount val="11"/>
                <c:pt idx="0">
                  <c:v>28.7</c:v>
                </c:pt>
                <c:pt idx="1">
                  <c:v>28.2</c:v>
                </c:pt>
                <c:pt idx="2">
                  <c:v>33.1</c:v>
                </c:pt>
                <c:pt idx="3">
                  <c:v>34.1</c:v>
                </c:pt>
                <c:pt idx="4">
                  <c:v>39</c:v>
                </c:pt>
                <c:pt idx="5">
                  <c:v>37.3</c:v>
                </c:pt>
                <c:pt idx="6">
                  <c:v>38.4</c:v>
                </c:pt>
                <c:pt idx="7">
                  <c:v>41.1</c:v>
                </c:pt>
                <c:pt idx="8">
                  <c:v>32.1</c:v>
                </c:pt>
                <c:pt idx="9">
                  <c:v>36.8</c:v>
                </c:pt>
                <c:pt idx="10">
                  <c:v>37.3</c:v>
                </c:pt>
              </c:numCache>
            </c:numRef>
          </c:val>
          <c:smooth val="0"/>
        </c:ser>
        <c:ser>
          <c:idx val="2"/>
          <c:order val="2"/>
          <c:tx>
            <c:strRef>
              <c:f>label 2</c:f>
              <c:strCache>
                <c:ptCount val="1"/>
                <c:pt idx="0">
                  <c:v>Алкоголизм</c:v>
                </c:pt>
              </c:strCache>
            </c:strRef>
          </c:tx>
          <c:spPr>
            <a:solidFill>
              <a:srgbClr val="ac9a9f"/>
            </a:solidFill>
            <a:ln w="28440">
              <a:solidFill>
                <a:srgbClr val="ac9a9f"/>
              </a:solidFill>
              <a:round/>
            </a:ln>
          </c:spPr>
          <c:marker>
            <c:symbol val="square"/>
            <c:size val="5"/>
            <c:spPr>
              <a:solidFill>
                <a:srgbClr val="ac9a9f"/>
              </a:solidFill>
            </c:spPr>
          </c:marker>
          <c:dPt>
            <c:idx val="8"/>
            <c:marker>
              <c:symbol val="square"/>
              <c:size val="5"/>
              <c:spPr>
                <a:solidFill>
                  <a:srgbClr val="ac9a9f"/>
                </a:solidFill>
              </c:spPr>
            </c:marker>
          </c:dPt>
          <c:dPt>
            <c:idx val="9"/>
            <c:marker>
              <c:symbol val="square"/>
              <c:size val="5"/>
              <c:spPr>
                <a:solidFill>
                  <a:srgbClr val="ac9a9f"/>
                </a:solidFill>
              </c:spPr>
            </c:marker>
          </c:dPt>
          <c:dLbls>
            <c:numFmt formatCode="General" sourceLinked="1"/>
            <c:dLbl>
              <c:idx val="8"/>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9"/>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2</c:f>
              <c:numCache>
                <c:formatCode>General</c:formatCode>
                <c:ptCount val="11"/>
                <c:pt idx="0">
                  <c:v>155.4</c:v>
                </c:pt>
                <c:pt idx="1">
                  <c:v>151.8</c:v>
                </c:pt>
                <c:pt idx="2">
                  <c:v>142.6</c:v>
                </c:pt>
                <c:pt idx="3">
                  <c:v>117.7</c:v>
                </c:pt>
                <c:pt idx="4">
                  <c:v>97.4</c:v>
                </c:pt>
                <c:pt idx="5">
                  <c:v>115</c:v>
                </c:pt>
                <c:pt idx="6">
                  <c:v>127.4</c:v>
                </c:pt>
                <c:pt idx="7">
                  <c:v>134</c:v>
                </c:pt>
                <c:pt idx="8">
                  <c:v>202.6</c:v>
                </c:pt>
                <c:pt idx="9">
                  <c:v>118.9</c:v>
                </c:pt>
                <c:pt idx="10">
                  <c:v>110.3</c:v>
                </c:pt>
              </c:numCache>
            </c:numRef>
          </c:val>
          <c:smooth val="0"/>
        </c:ser>
        <c:hiLowLines>
          <c:spPr>
            <a:ln>
              <a:noFill/>
            </a:ln>
          </c:spPr>
        </c:hiLowLines>
        <c:marker val="1"/>
        <c:axId val="10431191"/>
        <c:axId val="82469793"/>
      </c:lineChart>
      <c:catAx>
        <c:axId val="10431191"/>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82469793"/>
        <c:crosses val="autoZero"/>
        <c:auto val="1"/>
        <c:lblAlgn val="ctr"/>
        <c:lblOffset val="100"/>
      </c:catAx>
      <c:valAx>
        <c:axId val="82469793"/>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10431191"/>
        <c:crosses val="autoZero"/>
        <c:crossBetween val="midCat"/>
      </c:valAx>
      <c:spPr>
        <a:solidFill>
          <a:srgbClr val="ffffff"/>
        </a:solidFill>
        <a:ln>
          <a:noFill/>
        </a:ln>
      </c:spPr>
    </c:plotArea>
    <c:legend>
      <c:legendPos val="r"/>
      <c:layout>
        <c:manualLayout>
          <c:xMode val="edge"/>
          <c:yMode val="edge"/>
          <c:x val="0"/>
          <c:y val="0.917111111111111"/>
          <c:w val="0.986561660103756"/>
          <c:h val="0.0603400377819758"/>
        </c:manualLayout>
      </c:layout>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2.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bar"/>
        <c:grouping val="clustered"/>
        <c:varyColors val="0"/>
        <c:ser>
          <c:idx val="0"/>
          <c:order val="0"/>
          <c:tx>
            <c:strRef>
              <c:f>label 0</c:f>
              <c:strCache>
                <c:ptCount val="1"/>
                <c:pt idx="0">
                  <c:v>Степень обученности учащихся, %</c:v>
                </c:pt>
              </c:strCache>
            </c:strRef>
          </c:tx>
          <c:spPr>
            <a:solidFill>
              <a:srgbClr val="a7b789"/>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7"/>
                <c:pt idx="0">
                  <c:v>2012 год</c:v>
                </c:pt>
                <c:pt idx="1">
                  <c:v>2013 год</c:v>
                </c:pt>
                <c:pt idx="2">
                  <c:v>2014 год</c:v>
                </c:pt>
                <c:pt idx="3">
                  <c:v>2015 год</c:v>
                </c:pt>
                <c:pt idx="4">
                  <c:v>2016 год</c:v>
                </c:pt>
                <c:pt idx="5">
                  <c:v>2017 год</c:v>
                </c:pt>
                <c:pt idx="6">
                  <c:v>2018 год</c:v>
                </c:pt>
              </c:strCache>
            </c:strRef>
          </c:cat>
          <c:val>
            <c:numRef>
              <c:f>0</c:f>
              <c:numCache>
                <c:formatCode>General</c:formatCode>
                <c:ptCount val="7"/>
                <c:pt idx="0">
                  <c:v>51.4</c:v>
                </c:pt>
                <c:pt idx="1">
                  <c:v>52.3</c:v>
                </c:pt>
                <c:pt idx="2">
                  <c:v>53.4</c:v>
                </c:pt>
                <c:pt idx="3">
                  <c:v>53.1</c:v>
                </c:pt>
                <c:pt idx="4">
                  <c:v>53.5</c:v>
                </c:pt>
                <c:pt idx="5">
                  <c:v>52.8</c:v>
                </c:pt>
                <c:pt idx="6">
                  <c:v>53</c:v>
                </c:pt>
              </c:numCache>
            </c:numRef>
          </c:val>
        </c:ser>
        <c:ser>
          <c:idx val="1"/>
          <c:order val="1"/>
          <c:tx>
            <c:strRef>
              <c:f>label 1</c:f>
              <c:strCache>
                <c:ptCount val="1"/>
                <c:pt idx="0">
                  <c:v>Коэффициент обученности (успеваемость), %</c:v>
                </c:pt>
              </c:strCache>
            </c:strRef>
          </c:tx>
          <c:spPr>
            <a:solidFill>
              <a:srgbClr val="9c8265"/>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7"/>
                <c:pt idx="0">
                  <c:v>2012 год</c:v>
                </c:pt>
                <c:pt idx="1">
                  <c:v>2013 год</c:v>
                </c:pt>
                <c:pt idx="2">
                  <c:v>2014 год</c:v>
                </c:pt>
                <c:pt idx="3">
                  <c:v>2015 год</c:v>
                </c:pt>
                <c:pt idx="4">
                  <c:v>2016 год</c:v>
                </c:pt>
                <c:pt idx="5">
                  <c:v>2017 год</c:v>
                </c:pt>
                <c:pt idx="6">
                  <c:v>2018 год</c:v>
                </c:pt>
              </c:strCache>
            </c:strRef>
          </c:cat>
          <c:val>
            <c:numRef>
              <c:f>1</c:f>
              <c:numCache>
                <c:formatCode>General</c:formatCode>
                <c:ptCount val="7"/>
                <c:pt idx="0">
                  <c:v>99.7</c:v>
                </c:pt>
                <c:pt idx="1">
                  <c:v>99.6</c:v>
                </c:pt>
                <c:pt idx="2">
                  <c:v>100</c:v>
                </c:pt>
                <c:pt idx="3">
                  <c:v>99.7</c:v>
                </c:pt>
                <c:pt idx="4">
                  <c:v>100</c:v>
                </c:pt>
                <c:pt idx="5">
                  <c:v>99.1</c:v>
                </c:pt>
                <c:pt idx="6">
                  <c:v>99.5</c:v>
                </c:pt>
              </c:numCache>
            </c:numRef>
          </c:val>
        </c:ser>
        <c:ser>
          <c:idx val="2"/>
          <c:order val="2"/>
          <c:tx>
            <c:strRef>
              <c:f>label 2</c:f>
              <c:strCache>
                <c:ptCount val="1"/>
                <c:pt idx="0">
                  <c:v>Коэффициент образования (качество знаний), %</c:v>
                </c:pt>
              </c:strCache>
            </c:strRef>
          </c:tx>
          <c:spPr>
            <a:solidFill>
              <a:srgbClr val="8d6974"/>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7"/>
                <c:pt idx="0">
                  <c:v>2012 год</c:v>
                </c:pt>
                <c:pt idx="1">
                  <c:v>2013 год</c:v>
                </c:pt>
                <c:pt idx="2">
                  <c:v>2014 год</c:v>
                </c:pt>
                <c:pt idx="3">
                  <c:v>2015 год</c:v>
                </c:pt>
                <c:pt idx="4">
                  <c:v>2016 год</c:v>
                </c:pt>
                <c:pt idx="5">
                  <c:v>2017 год</c:v>
                </c:pt>
                <c:pt idx="6">
                  <c:v>2018 год</c:v>
                </c:pt>
              </c:strCache>
            </c:strRef>
          </c:cat>
          <c:val>
            <c:numRef>
              <c:f>2</c:f>
              <c:numCache>
                <c:formatCode>General</c:formatCode>
                <c:ptCount val="7"/>
                <c:pt idx="0">
                  <c:v>43.1</c:v>
                </c:pt>
                <c:pt idx="1">
                  <c:v>45.7</c:v>
                </c:pt>
                <c:pt idx="2">
                  <c:v>47.1</c:v>
                </c:pt>
                <c:pt idx="3">
                  <c:v>45.9</c:v>
                </c:pt>
                <c:pt idx="4">
                  <c:v>45.9</c:v>
                </c:pt>
                <c:pt idx="5">
                  <c:v>46.1</c:v>
                </c:pt>
                <c:pt idx="6">
                  <c:v>46.9</c:v>
                </c:pt>
              </c:numCache>
            </c:numRef>
          </c:val>
        </c:ser>
        <c:gapWidth val="75"/>
        <c:shape val="cylinder"/>
        <c:axId val="35864816"/>
        <c:axId val="12756772"/>
        <c:axId val="0"/>
      </c:bar3DChart>
      <c:catAx>
        <c:axId val="35864816"/>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12756772"/>
        <c:crosses val="autoZero"/>
        <c:auto val="1"/>
        <c:lblAlgn val="ctr"/>
        <c:lblOffset val="100"/>
      </c:catAx>
      <c:valAx>
        <c:axId val="12756772"/>
        <c:scaling>
          <c:orientation val="minMax"/>
        </c:scaling>
        <c:delete val="0"/>
        <c:axPos val="l"/>
        <c:numFmt formatCode="General" sourceLinked="0"/>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35864816"/>
        <c:crosses val="autoZero"/>
      </c:valAx>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Численность несовершеннолетних граждан, трудоустроенных в свободное время, чел.</c:v>
                </c:pt>
              </c:strCache>
            </c:strRef>
          </c:tx>
          <c:spPr>
            <a:solidFill>
              <a:srgbClr val="a7b789"/>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dLbls>
          <c:trendline>
            <c:spPr>
              <a:ln w="9360">
                <a:solidFill>
                  <a:srgbClr val="000000"/>
                </a:solidFill>
                <a:round/>
              </a:ln>
            </c:spPr>
            <c:trendlineType val="log"/>
            <c:forward val="0"/>
            <c:backward val="0"/>
            <c:dispRSqr val="0"/>
            <c:dispEq val="0"/>
          </c:trendline>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197</c:v>
                </c:pt>
                <c:pt idx="1">
                  <c:v>206</c:v>
                </c:pt>
                <c:pt idx="2">
                  <c:v>203</c:v>
                </c:pt>
                <c:pt idx="3">
                  <c:v>130</c:v>
                </c:pt>
                <c:pt idx="4">
                  <c:v>128</c:v>
                </c:pt>
                <c:pt idx="5">
                  <c:v>125</c:v>
                </c:pt>
                <c:pt idx="6">
                  <c:v>88</c:v>
                </c:pt>
                <c:pt idx="7">
                  <c:v>71</c:v>
                </c:pt>
                <c:pt idx="8">
                  <c:v>71</c:v>
                </c:pt>
                <c:pt idx="9">
                  <c:v>71</c:v>
                </c:pt>
                <c:pt idx="10">
                  <c:v>71</c:v>
                </c:pt>
              </c:numCache>
            </c:numRef>
          </c:val>
        </c:ser>
        <c:gapWidth val="150"/>
        <c:overlap val="0"/>
        <c:axId val="65820532"/>
        <c:axId val="53385341"/>
      </c:barChart>
      <c:catAx>
        <c:axId val="6582053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53385341"/>
        <c:crosses val="autoZero"/>
        <c:auto val="1"/>
        <c:lblAlgn val="ctr"/>
        <c:lblOffset val="100"/>
      </c:catAx>
      <c:valAx>
        <c:axId val="53385341"/>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65820532"/>
        <c:crosses val="autoZero"/>
      </c:valAx>
      <c:spPr>
        <a:solidFill>
          <a:srgbClr val="ffffff"/>
        </a:solidFill>
        <a:ln>
          <a:noFill/>
        </a:ln>
      </c:spPr>
    </c:plotArea>
    <c:plotVisOnly val="1"/>
    <c:dispBlanksAs val="gap"/>
  </c:chart>
  <c:spPr>
    <a:solidFill>
      <a:srgbClr val="ffffff"/>
    </a:solidFill>
    <a:ln w="9360">
      <a:noFill/>
    </a:ln>
  </c:spPr>
</c:chartSpace>
</file>

<file path=word/charts/chart24.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Оборот общественного питания, млн. руб.</c:v>
                </c:pt>
              </c:strCache>
            </c:strRef>
          </c:tx>
          <c:spPr>
            <a:gradFill>
              <a:gsLst>
                <a:gs pos="0">
                  <a:srgbClr val="7e8d61"/>
                </a:gs>
                <a:gs pos="100000">
                  <a:srgbClr val="a3b87d"/>
                </a:gs>
              </a:gsLst>
              <a:lin ang="16200000"/>
            </a:gradFill>
            <a:ln>
              <a:noFill/>
            </a:ln>
          </c:spPr>
          <c:invertIfNegative val="0"/>
          <c:dLbls>
            <c:numFmt formatCode="0.0"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7"/>
                <c:pt idx="0">
                  <c:v>2011</c:v>
                </c:pt>
                <c:pt idx="1">
                  <c:v>2012</c:v>
                </c:pt>
                <c:pt idx="2">
                  <c:v>2013</c:v>
                </c:pt>
                <c:pt idx="3">
                  <c:v>2014</c:v>
                </c:pt>
                <c:pt idx="4">
                  <c:v>2015</c:v>
                </c:pt>
                <c:pt idx="5">
                  <c:v>2016</c:v>
                </c:pt>
                <c:pt idx="6">
                  <c:v>2017</c:v>
                </c:pt>
              </c:strCache>
            </c:strRef>
          </c:cat>
          <c:val>
            <c:numRef>
              <c:f>0</c:f>
              <c:numCache>
                <c:formatCode>General</c:formatCode>
                <c:ptCount val="7"/>
                <c:pt idx="0">
                  <c:v>12.8</c:v>
                </c:pt>
                <c:pt idx="1">
                  <c:v>130</c:v>
                </c:pt>
                <c:pt idx="2">
                  <c:v>67.7</c:v>
                </c:pt>
                <c:pt idx="3">
                  <c:v>110.9</c:v>
                </c:pt>
                <c:pt idx="4">
                  <c:v>33.8</c:v>
                </c:pt>
                <c:pt idx="5">
                  <c:v>65.8</c:v>
                </c:pt>
                <c:pt idx="6">
                  <c:v>38.4</c:v>
                </c:pt>
              </c:numCache>
            </c:numRef>
          </c:val>
        </c:ser>
        <c:gapWidth val="75"/>
        <c:overlap val="0"/>
        <c:axId val="24650590"/>
        <c:axId val="90390315"/>
      </c:barChart>
      <c:lineChart>
        <c:grouping val="standard"/>
        <c:varyColors val="0"/>
        <c:ser>
          <c:idx val="1"/>
          <c:order val="1"/>
          <c:tx>
            <c:strRef>
              <c:f>label 1</c:f>
              <c:strCache>
                <c:ptCount val="1"/>
                <c:pt idx="0">
                  <c:v>Количество посадочных мест в ресторанах, кафе, барах, ед.</c:v>
                </c:pt>
              </c:strCache>
            </c:strRef>
          </c:tx>
          <c:spPr>
            <a:solidFill>
              <a:srgbClr val="6c6c71"/>
            </a:solidFill>
            <a:ln w="47520">
              <a:solidFill>
                <a:srgbClr val="6c6c71"/>
              </a:solidFill>
              <a:round/>
            </a:ln>
          </c:spPr>
          <c:marker>
            <c:symbol val="square"/>
            <c:size val="5"/>
            <c:spPr>
              <a:solidFill>
                <a:srgbClr val="6c6c71"/>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7"/>
                <c:pt idx="0">
                  <c:v>2011</c:v>
                </c:pt>
                <c:pt idx="1">
                  <c:v>2012</c:v>
                </c:pt>
                <c:pt idx="2">
                  <c:v>2013</c:v>
                </c:pt>
                <c:pt idx="3">
                  <c:v>2014</c:v>
                </c:pt>
                <c:pt idx="4">
                  <c:v>2015</c:v>
                </c:pt>
                <c:pt idx="5">
                  <c:v>2016</c:v>
                </c:pt>
                <c:pt idx="6">
                  <c:v>2017</c:v>
                </c:pt>
              </c:strCache>
            </c:strRef>
          </c:cat>
          <c:val>
            <c:numRef>
              <c:f>1</c:f>
              <c:numCache>
                <c:formatCode>General</c:formatCode>
                <c:ptCount val="7"/>
                <c:pt idx="0">
                  <c:v>145</c:v>
                </c:pt>
                <c:pt idx="1">
                  <c:v>251</c:v>
                </c:pt>
                <c:pt idx="2">
                  <c:v>414</c:v>
                </c:pt>
                <c:pt idx="3">
                  <c:v>414</c:v>
                </c:pt>
                <c:pt idx="4">
                  <c:v>514</c:v>
                </c:pt>
                <c:pt idx="5">
                  <c:v>596</c:v>
                </c:pt>
                <c:pt idx="6">
                  <c:v>596</c:v>
                </c:pt>
              </c:numCache>
            </c:numRef>
          </c:val>
          <c:smooth val="0"/>
        </c:ser>
        <c:hiLowLines>
          <c:spPr>
            <a:ln>
              <a:noFill/>
            </a:ln>
          </c:spPr>
        </c:hiLowLines>
        <c:marker val="1"/>
        <c:axId val="91028026"/>
        <c:axId val="59151875"/>
      </c:lineChart>
      <c:catAx>
        <c:axId val="24650590"/>
        <c:scaling>
          <c:orientation val="minMax"/>
        </c:scaling>
        <c:delete val="1"/>
        <c:axPos val="b"/>
        <c:numFmt formatCode="[$-419]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90390315"/>
        <c:auto val="1"/>
        <c:lblAlgn val="ctr"/>
        <c:lblOffset val="100"/>
      </c:catAx>
      <c:valAx>
        <c:axId val="90390315"/>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24650590"/>
        <c:crosses val="max"/>
      </c:valAx>
      <c:catAx>
        <c:axId val="91028026"/>
        <c:scaling>
          <c:orientation val="minMax"/>
        </c:scaling>
        <c:delete val="0"/>
        <c:axPos val="t"/>
        <c:numFmt formatCode="[$-419]DD/MM/YYYY" sourceLinked="1"/>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59151875"/>
        <c:crosses val="autoZero"/>
        <c:auto val="1"/>
        <c:lblAlgn val="ctr"/>
        <c:lblOffset val="100"/>
      </c:catAx>
      <c:valAx>
        <c:axId val="59151875"/>
        <c:scaling>
          <c:orientation val="minMax"/>
        </c:scaling>
        <c:delete val="0"/>
        <c:axPos val="r"/>
        <c:numFmt formatCode="General" sourceLinked="0"/>
        <c:majorTickMark val="none"/>
        <c:minorTickMark val="none"/>
        <c:tickLblPos val="nextTo"/>
        <c:spPr>
          <a:ln w="9360">
            <a:noFill/>
          </a:ln>
        </c:spPr>
        <c:txPr>
          <a:bodyPr/>
          <a:lstStyle/>
          <a:p>
            <a:pPr>
              <a:defRPr b="0" sz="1100" spc="-1" strike="noStrike">
                <a:solidFill>
                  <a:srgbClr val="000000"/>
                </a:solidFill>
                <a:latin typeface="Times New Roman"/>
              </a:defRPr>
            </a:pPr>
          </a:p>
        </c:txPr>
        <c:crossAx val="91028026"/>
        <c:crosses val="autoZero"/>
      </c:valAx>
      <c:spPr>
        <a:noFill/>
        <a:ln>
          <a:noFill/>
        </a:ln>
      </c:spPr>
    </c:plotArea>
    <c:legend>
      <c:legendPos val="b"/>
      <c:overlay val="0"/>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5.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standard"/>
        <c:varyColors val="0"/>
        <c:ser>
          <c:idx val="0"/>
          <c:order val="0"/>
          <c:tx>
            <c:strRef>
              <c:f>label 0</c:f>
              <c:strCache>
                <c:ptCount val="1"/>
                <c:pt idx="0">
                  <c:v> в т.ч. для жилищного строительства, индивидуального строительства и комплексного освоения , га</c:v>
                </c:pt>
              </c:strCache>
            </c:strRef>
          </c:tx>
          <c:spPr>
            <a:solidFill>
              <a:srgbClr val="6f6f74"/>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7"/>
                <c:pt idx="0">
                  <c:v>2011</c:v>
                </c:pt>
                <c:pt idx="1">
                  <c:v>2012</c:v>
                </c:pt>
                <c:pt idx="2">
                  <c:v>2013</c:v>
                </c:pt>
                <c:pt idx="3">
                  <c:v>2014</c:v>
                </c:pt>
                <c:pt idx="4">
                  <c:v>2015</c:v>
                </c:pt>
                <c:pt idx="5">
                  <c:v>2016</c:v>
                </c:pt>
                <c:pt idx="6">
                  <c:v>2017</c:v>
                </c:pt>
              </c:strCache>
            </c:strRef>
          </c:cat>
          <c:val>
            <c:numRef>
              <c:f>0</c:f>
              <c:numCache>
                <c:formatCode>General</c:formatCode>
                <c:ptCount val="7"/>
                <c:pt idx="0">
                  <c:v>15.8</c:v>
                </c:pt>
                <c:pt idx="1">
                  <c:v>14.8</c:v>
                </c:pt>
                <c:pt idx="2">
                  <c:v>15</c:v>
                </c:pt>
                <c:pt idx="3">
                  <c:v>15</c:v>
                </c:pt>
                <c:pt idx="4">
                  <c:v>4.8</c:v>
                </c:pt>
                <c:pt idx="5">
                  <c:v>5</c:v>
                </c:pt>
                <c:pt idx="6">
                  <c:v>4.5</c:v>
                </c:pt>
              </c:numCache>
            </c:numRef>
          </c:val>
        </c:ser>
        <c:ser>
          <c:idx val="1"/>
          <c:order val="1"/>
          <c:tx>
            <c:strRef>
              <c:f>label 1</c:f>
              <c:strCache>
                <c:ptCount val="1"/>
                <c:pt idx="0">
                  <c:v>Площадь земельных участков, предоставленных для строительства, в расчете на 10 тысяч человек населения – всего, га</c:v>
                </c:pt>
              </c:strCache>
            </c:strRef>
          </c:tx>
          <c:spPr>
            <a:solidFill>
              <a:srgbClr val="a7b789"/>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7"/>
                <c:pt idx="0">
                  <c:v>2011</c:v>
                </c:pt>
                <c:pt idx="1">
                  <c:v>2012</c:v>
                </c:pt>
                <c:pt idx="2">
                  <c:v>2013</c:v>
                </c:pt>
                <c:pt idx="3">
                  <c:v>2014</c:v>
                </c:pt>
                <c:pt idx="4">
                  <c:v>2015</c:v>
                </c:pt>
                <c:pt idx="5">
                  <c:v>2016</c:v>
                </c:pt>
                <c:pt idx="6">
                  <c:v>2017</c:v>
                </c:pt>
              </c:strCache>
            </c:strRef>
          </c:cat>
          <c:val>
            <c:numRef>
              <c:f>1</c:f>
              <c:numCache>
                <c:formatCode>General</c:formatCode>
                <c:ptCount val="7"/>
                <c:pt idx="0">
                  <c:v>23.3</c:v>
                </c:pt>
                <c:pt idx="1">
                  <c:v>21.3</c:v>
                </c:pt>
                <c:pt idx="2">
                  <c:v>21</c:v>
                </c:pt>
                <c:pt idx="3">
                  <c:v>21</c:v>
                </c:pt>
                <c:pt idx="4">
                  <c:v>4.8</c:v>
                </c:pt>
                <c:pt idx="5">
                  <c:v>5</c:v>
                </c:pt>
                <c:pt idx="6">
                  <c:v>5.3</c:v>
                </c:pt>
              </c:numCache>
            </c:numRef>
          </c:val>
        </c:ser>
        <c:gapWidth val="150"/>
        <c:shape val="box"/>
        <c:axId val="99904981"/>
        <c:axId val="22949978"/>
      </c:bar3DChart>
      <c:catAx>
        <c:axId val="99904981"/>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22949978"/>
        <c:crosses val="autoZero"/>
        <c:auto val="1"/>
        <c:lblAlgn val="ctr"/>
        <c:lblOffset val="100"/>
      </c:catAx>
      <c:valAx>
        <c:axId val="2294997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99904981"/>
        <c:crosses val="autoZero"/>
      </c:valAx>
    </c:plotArea>
    <c:legend>
      <c:legendPos val="r"/>
      <c:layout>
        <c:manualLayout>
          <c:xMode val="edge"/>
          <c:yMode val="edge"/>
          <c:x val="0"/>
          <c:y val="0.772555555555556"/>
          <c:w val="0.958997437339834"/>
          <c:h val="0.203578175352817"/>
        </c:manualLayout>
      </c:layout>
      <c:overlay val="0"/>
      <c:spPr>
        <a:noFill/>
        <a:ln>
          <a:noFill/>
        </a:ln>
      </c:spPr>
      <c:txPr>
        <a:bodyPr/>
        <a:lstStyle/>
        <a:p>
          <a:pPr>
            <a:defRPr b="0" sz="1200" spc="-1" strike="noStrike">
              <a:solidFill>
                <a:srgbClr val="000000"/>
              </a:solidFill>
              <a:latin typeface="Times New Roman"/>
            </a:defRPr>
          </a:pPr>
        </a:p>
      </c:txPr>
    </c:legend>
    <c:plotVisOnly val="1"/>
    <c:dispBlanksAs val="gap"/>
  </c:chart>
  <c:spPr>
    <a:noFill/>
    <a:ln w="9360">
      <a:noFill/>
    </a:ln>
  </c:spPr>
</c:chartSpace>
</file>

<file path=word/charts/chart26.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Площадь ветхого и аварийного жилищного фонда, тыс. кв. м</c:v>
                </c:pt>
              </c:strCache>
            </c:strRef>
          </c:tx>
          <c:spPr>
            <a:solidFill>
              <a:srgbClr val="92a9b9"/>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1.9</c:v>
                </c:pt>
                <c:pt idx="1">
                  <c:v>3</c:v>
                </c:pt>
                <c:pt idx="2">
                  <c:v>3.3</c:v>
                </c:pt>
                <c:pt idx="3">
                  <c:v>3.4</c:v>
                </c:pt>
                <c:pt idx="4">
                  <c:v>3.3</c:v>
                </c:pt>
                <c:pt idx="5">
                  <c:v>3.3</c:v>
                </c:pt>
                <c:pt idx="6">
                  <c:v>3.3</c:v>
                </c:pt>
                <c:pt idx="7">
                  <c:v>3.4</c:v>
                </c:pt>
                <c:pt idx="8">
                  <c:v>2.8</c:v>
                </c:pt>
                <c:pt idx="9">
                  <c:v>2.8</c:v>
                </c:pt>
              </c:numCache>
            </c:numRef>
          </c:val>
        </c:ser>
        <c:gapWidth val="219"/>
        <c:overlap val="-27"/>
        <c:axId val="40294217"/>
        <c:axId val="9848467"/>
      </c:barChart>
      <c:catAx>
        <c:axId val="40294217"/>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9848467"/>
        <c:crosses val="autoZero"/>
        <c:auto val="1"/>
        <c:lblAlgn val="ctr"/>
        <c:lblOffset val="100"/>
      </c:catAx>
      <c:valAx>
        <c:axId val="9848467"/>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40294217"/>
        <c:crosses val="autoZero"/>
      </c:valAx>
      <c:spPr>
        <a:solidFill>
          <a:srgbClr val="ffffff"/>
        </a:solidFill>
        <a:ln>
          <a:noFill/>
        </a:ln>
      </c:spPr>
    </c:plotArea>
    <c:plotVisOnly val="1"/>
    <c:dispBlanksAs val="gap"/>
  </c:chart>
  <c:spPr>
    <a:solidFill>
      <a:srgbClr val="ffffff"/>
    </a:solidFill>
    <a:ln w="9360">
      <a:noFill/>
    </a:ln>
  </c:spPr>
</c:chartSpace>
</file>

<file path=word/charts/chart27.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водопроводом, %</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39</c:v>
                </c:pt>
                <c:pt idx="1">
                  <c:v>40</c:v>
                </c:pt>
                <c:pt idx="2">
                  <c:v>40</c:v>
                </c:pt>
                <c:pt idx="3">
                  <c:v>40</c:v>
                </c:pt>
                <c:pt idx="4">
                  <c:v>41</c:v>
                </c:pt>
                <c:pt idx="5">
                  <c:v>41</c:v>
                </c:pt>
                <c:pt idx="6">
                  <c:v>42</c:v>
                </c:pt>
                <c:pt idx="7">
                  <c:v>42</c:v>
                </c:pt>
                <c:pt idx="8">
                  <c:v>45</c:v>
                </c:pt>
                <c:pt idx="9">
                  <c:v>46</c:v>
                </c:pt>
              </c:numCache>
            </c:numRef>
          </c:val>
          <c:smooth val="0"/>
        </c:ser>
        <c:ser>
          <c:idx val="1"/>
          <c:order val="1"/>
          <c:tx>
            <c:strRef>
              <c:f>label 1</c:f>
              <c:strCache>
                <c:ptCount val="1"/>
                <c:pt idx="0">
                  <c:v>сетевым газом, %</c:v>
                </c:pt>
              </c:strCache>
            </c:strRef>
          </c:tx>
          <c:spPr>
            <a:solidFill>
              <a:srgbClr val="a3b384"/>
            </a:solidFill>
            <a:ln w="28440">
              <a:solidFill>
                <a:srgbClr val="a3b384"/>
              </a:solidFill>
              <a:round/>
            </a:ln>
          </c:spPr>
          <c:marker>
            <c:symbol val="square"/>
            <c:size val="5"/>
            <c:spPr>
              <a:solidFill>
                <a:srgbClr val="a3b384"/>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83</c:v>
                </c:pt>
                <c:pt idx="1">
                  <c:v>83</c:v>
                </c:pt>
                <c:pt idx="2">
                  <c:v>83</c:v>
                </c:pt>
                <c:pt idx="3">
                  <c:v>83</c:v>
                </c:pt>
                <c:pt idx="4">
                  <c:v>82</c:v>
                </c:pt>
                <c:pt idx="5">
                  <c:v>82</c:v>
                </c:pt>
                <c:pt idx="6">
                  <c:v>83</c:v>
                </c:pt>
                <c:pt idx="7">
                  <c:v>82</c:v>
                </c:pt>
                <c:pt idx="8">
                  <c:v>89</c:v>
                </c:pt>
                <c:pt idx="9">
                  <c:v>89</c:v>
                </c:pt>
              </c:numCache>
            </c:numRef>
          </c:val>
          <c:smooth val="0"/>
        </c:ser>
        <c:ser>
          <c:idx val="2"/>
          <c:order val="2"/>
          <c:tx>
            <c:strRef>
              <c:f>label 2</c:f>
              <c:strCache>
                <c:ptCount val="1"/>
                <c:pt idx="0">
                  <c:v>канализацией, %</c:v>
                </c:pt>
              </c:strCache>
            </c:strRef>
          </c:tx>
          <c:spPr>
            <a:solidFill>
              <a:srgbClr val="baaa93"/>
            </a:solidFill>
            <a:ln w="28440">
              <a:solidFill>
                <a:srgbClr val="baaa93"/>
              </a:solidFill>
              <a:round/>
            </a:ln>
          </c:spPr>
          <c:marker>
            <c:symbol val="square"/>
            <c:size val="5"/>
            <c:spPr>
              <a:solidFill>
                <a:srgbClr val="baaa93"/>
              </a:solidFill>
            </c:spPr>
          </c:marker>
          <c:dLbls>
            <c:numFmt formatCode="General" sourceLinked="1"/>
            <c:txPr>
              <a:bodyPr/>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2</c:f>
              <c:numCache>
                <c:formatCode>General</c:formatCode>
                <c:ptCount val="10"/>
                <c:pt idx="0">
                  <c:v>37</c:v>
                </c:pt>
                <c:pt idx="1">
                  <c:v>37</c:v>
                </c:pt>
                <c:pt idx="2">
                  <c:v>38</c:v>
                </c:pt>
                <c:pt idx="3">
                  <c:v>38</c:v>
                </c:pt>
                <c:pt idx="4">
                  <c:v>38</c:v>
                </c:pt>
                <c:pt idx="5">
                  <c:v>38</c:v>
                </c:pt>
                <c:pt idx="6">
                  <c:v>39</c:v>
                </c:pt>
                <c:pt idx="7">
                  <c:v>38</c:v>
                </c:pt>
                <c:pt idx="8">
                  <c:v>42</c:v>
                </c:pt>
                <c:pt idx="9">
                  <c:v>43</c:v>
                </c:pt>
              </c:numCache>
            </c:numRef>
          </c:val>
          <c:smooth val="0"/>
        </c:ser>
        <c:ser>
          <c:idx val="3"/>
          <c:order val="3"/>
          <c:tx>
            <c:strRef>
              <c:f>label 3</c:f>
              <c:strCache>
                <c:ptCount val="1"/>
                <c:pt idx="0">
                  <c:v>отоплением, %</c:v>
                </c:pt>
              </c:strCache>
            </c:strRef>
          </c:tx>
          <c:spPr>
            <a:solidFill>
              <a:srgbClr val="8da5b5"/>
            </a:solidFill>
            <a:ln w="28440">
              <a:solidFill>
                <a:srgbClr val="8da5b5"/>
              </a:solidFill>
              <a:round/>
            </a:ln>
          </c:spPr>
          <c:marker>
            <c:symbol val="square"/>
            <c:size val="5"/>
            <c:spPr>
              <a:solidFill>
                <a:srgbClr val="8da5b5"/>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3</c:f>
              <c:numCache>
                <c:formatCode>General</c:formatCode>
                <c:ptCount val="10"/>
                <c:pt idx="0">
                  <c:v>44</c:v>
                </c:pt>
                <c:pt idx="1">
                  <c:v>45</c:v>
                </c:pt>
                <c:pt idx="2">
                  <c:v>45</c:v>
                </c:pt>
                <c:pt idx="3">
                  <c:v>46</c:v>
                </c:pt>
                <c:pt idx="4">
                  <c:v>46</c:v>
                </c:pt>
                <c:pt idx="5">
                  <c:v>46</c:v>
                </c:pt>
                <c:pt idx="6">
                  <c:v>46</c:v>
                </c:pt>
                <c:pt idx="7">
                  <c:v>48</c:v>
                </c:pt>
                <c:pt idx="8">
                  <c:v>51</c:v>
                </c:pt>
                <c:pt idx="9">
                  <c:v>51</c:v>
                </c:pt>
              </c:numCache>
            </c:numRef>
          </c:val>
          <c:smooth val="0"/>
        </c:ser>
        <c:hiLowLines>
          <c:spPr>
            <a:ln>
              <a:noFill/>
            </a:ln>
          </c:spPr>
        </c:hiLowLines>
        <c:marker val="1"/>
        <c:axId val="89275612"/>
        <c:axId val="48535609"/>
      </c:lineChart>
      <c:catAx>
        <c:axId val="8927561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8535609"/>
        <c:crosses val="autoZero"/>
        <c:auto val="1"/>
        <c:lblAlgn val="ctr"/>
        <c:lblOffset val="100"/>
      </c:catAx>
      <c:valAx>
        <c:axId val="48535609"/>
        <c:scaling>
          <c:orientation val="minMax"/>
          <c:max val="90"/>
          <c:min val="35"/>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89275612"/>
        <c:crosses val="autoZero"/>
        <c:crossBetween val="midCat"/>
      </c:valAx>
      <c:spPr>
        <a:solidFill>
          <a:srgbClr val="ffffff"/>
        </a:solidFill>
        <a:ln>
          <a:noFill/>
        </a:ln>
      </c:spPr>
    </c:plotArea>
    <c:legend>
      <c:legendPos val="r"/>
      <c:layout>
        <c:manualLayout>
          <c:xMode val="edge"/>
          <c:yMode val="edge"/>
          <c:x val="0.0836875"/>
          <c:y val="0.827666666666667"/>
          <c:w val="0.87667979248703"/>
          <c:h val="0.14812756972997"/>
        </c:manualLayout>
      </c:layout>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8.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Протяженность автомобильных дорог общего пользования местного значения с 2012 г. - включая протяженность улиц, км</c:v>
                </c:pt>
              </c:strCache>
            </c:strRef>
          </c:tx>
          <c:spPr>
            <a:solidFill>
              <a:srgbClr val="92a9b9"/>
            </a:solidFill>
            <a:ln w="28440">
              <a:solidFill>
                <a:srgbClr val="92a9b9"/>
              </a:solidFill>
              <a:round/>
            </a:ln>
          </c:spPr>
          <c:marker>
            <c:symbol val="circle"/>
            <c:size val="5"/>
            <c:spPr>
              <a:solidFill>
                <a:srgbClr val="92a9b9"/>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33.6</c:v>
                </c:pt>
                <c:pt idx="1">
                  <c:v>33.6</c:v>
                </c:pt>
                <c:pt idx="2">
                  <c:v>33.6</c:v>
                </c:pt>
                <c:pt idx="3">
                  <c:v>101.9</c:v>
                </c:pt>
                <c:pt idx="4">
                  <c:v>101.9</c:v>
                </c:pt>
                <c:pt idx="5">
                  <c:v>101.9</c:v>
                </c:pt>
                <c:pt idx="6">
                  <c:v>271.1</c:v>
                </c:pt>
                <c:pt idx="7">
                  <c:v>277.2</c:v>
                </c:pt>
                <c:pt idx="8">
                  <c:v>277.2</c:v>
                </c:pt>
              </c:numCache>
            </c:numRef>
          </c:val>
          <c:smooth val="0"/>
        </c:ser>
        <c:ser>
          <c:idx val="1"/>
          <c:order val="1"/>
          <c:tx>
            <c:strRef>
              <c:f>label 1</c:f>
              <c:strCache>
                <c:ptCount val="1"/>
                <c:pt idx="0">
                  <c:v>в т.ч. с твердым покрытием с 2012 г. - включая протяженность улиц, км</c:v>
                </c:pt>
              </c:strCache>
            </c:strRef>
          </c:tx>
          <c:spPr>
            <a:solidFill>
              <a:srgbClr val="9c8265"/>
            </a:solidFill>
            <a:ln w="28440">
              <a:solidFill>
                <a:srgbClr val="9c8265"/>
              </a:solidFill>
              <a:round/>
            </a:ln>
          </c:spPr>
          <c:marker>
            <c:symbol val="circle"/>
            <c:size val="5"/>
            <c:spPr>
              <a:solidFill>
                <a:srgbClr val="9c8265"/>
              </a:solidFill>
            </c:spPr>
          </c:marker>
          <c:dPt>
            <c:idx val="0"/>
            <c:marker>
              <c:symbol val="circle"/>
              <c:size val="5"/>
              <c:spPr>
                <a:solidFill>
                  <a:srgbClr val="9c8265"/>
                </a:solidFill>
              </c:spPr>
            </c:marker>
          </c:dPt>
          <c:dPt>
            <c:idx val="1"/>
            <c:marker>
              <c:symbol val="circle"/>
              <c:size val="5"/>
              <c:spPr>
                <a:solidFill>
                  <a:srgbClr val="9c8265"/>
                </a:solidFill>
              </c:spPr>
            </c:marker>
          </c:dPt>
          <c:dPt>
            <c:idx val="2"/>
            <c:marker>
              <c:symbol val="circle"/>
              <c:size val="5"/>
              <c:spPr>
                <a:solidFill>
                  <a:srgbClr val="9c8265"/>
                </a:solidFill>
              </c:spPr>
            </c:marker>
          </c:dPt>
          <c:dLbls>
            <c:numFmt formatCode="General" sourceLinked="1"/>
            <c:dLbl>
              <c:idx val="0"/>
              <c:numFmt formatCode="General" sourceLinked="1"/>
              <c:txPr>
                <a:bodyPr/>
                <a:lstStyle/>
                <a:p>
                  <a:pPr>
                    <a:defRPr b="0" sz="1000" spc="-1" strike="noStrike">
                      <a:solidFill>
                        <a:srgbClr val="000000"/>
                      </a:solidFill>
                      <a:latin typeface="Calibri"/>
                    </a:defRPr>
                  </a:pPr>
                </a:p>
              </c:txPr>
              <c:dLblPos val="t"/>
              <c:showLegendKey val="1"/>
              <c:showVal val="1"/>
              <c:showCatName val="1"/>
              <c:showSerName val="0"/>
              <c:showPercent val="0"/>
              <c:separator>; </c:separator>
            </c:dLbl>
            <c:dLbl>
              <c:idx val="1"/>
              <c:numFmt formatCode="General" sourceLinked="1"/>
              <c:txPr>
                <a:bodyPr/>
                <a:lstStyle/>
                <a:p>
                  <a:pPr>
                    <a:defRPr b="0" sz="1000" spc="-1" strike="noStrike">
                      <a:solidFill>
                        <a:srgbClr val="000000"/>
                      </a:solidFill>
                      <a:latin typeface="Calibri"/>
                    </a:defRPr>
                  </a:pPr>
                </a:p>
              </c:txPr>
              <c:dLblPos val="t"/>
              <c:showLegendKey val="1"/>
              <c:showVal val="1"/>
              <c:showCatName val="1"/>
              <c:showSerName val="0"/>
              <c:showPercent val="0"/>
              <c:separator>; </c:separator>
            </c:dLbl>
            <c:dLbl>
              <c:idx val="2"/>
              <c:numFmt formatCode="General" sourceLinked="1"/>
              <c:txPr>
                <a:bodyPr/>
                <a:lstStyle/>
                <a:p>
                  <a:pPr>
                    <a:defRPr b="0" sz="1000" spc="-1" strike="noStrike">
                      <a:solidFill>
                        <a:srgbClr val="000000"/>
                      </a:solidFill>
                      <a:latin typeface="Calibri"/>
                    </a:defRPr>
                  </a:pPr>
                </a:p>
              </c:txPr>
              <c:dLblPos val="t"/>
              <c:showLegendKey val="1"/>
              <c:showVal val="1"/>
              <c:showCatName val="1"/>
              <c:showSerName val="0"/>
              <c:showPercent val="0"/>
              <c:separator>; </c:separator>
            </c:dLbl>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33.6</c:v>
                </c:pt>
                <c:pt idx="1">
                  <c:v>33.6</c:v>
                </c:pt>
                <c:pt idx="2">
                  <c:v>33.6</c:v>
                </c:pt>
                <c:pt idx="3">
                  <c:v>49</c:v>
                </c:pt>
                <c:pt idx="4">
                  <c:v>49</c:v>
                </c:pt>
                <c:pt idx="5">
                  <c:v>49</c:v>
                </c:pt>
                <c:pt idx="6">
                  <c:v>114.4</c:v>
                </c:pt>
                <c:pt idx="7">
                  <c:v>114.4</c:v>
                </c:pt>
                <c:pt idx="8">
                  <c:v>114.4</c:v>
                </c:pt>
              </c:numCache>
            </c:numRef>
          </c:val>
          <c:smooth val="0"/>
        </c:ser>
        <c:ser>
          <c:idx val="2"/>
          <c:order val="2"/>
          <c:tx>
            <c:strRef>
              <c:f>label 2</c:f>
              <c:strCache>
                <c:ptCount val="1"/>
                <c:pt idx="0">
                  <c:v>в т.ч. с усовершенствованым покрытием с 2012 г. - включая протяженность улиц, км</c:v>
                </c:pt>
              </c:strCache>
            </c:strRef>
          </c:tx>
          <c:spPr>
            <a:solidFill>
              <a:srgbClr val="8d6974"/>
            </a:solidFill>
            <a:ln w="28440">
              <a:solidFill>
                <a:srgbClr val="8d6974"/>
              </a:solidFill>
              <a:round/>
            </a:ln>
          </c:spPr>
          <c:marker>
            <c:symbol val="circle"/>
            <c:size val="5"/>
            <c:spPr>
              <a:solidFill>
                <a:srgbClr val="8d6974"/>
              </a:solidFill>
            </c:spPr>
          </c:marker>
          <c:dPt>
            <c:idx val="0"/>
            <c:marker>
              <c:symbol val="circle"/>
              <c:size val="5"/>
              <c:spPr>
                <a:solidFill>
                  <a:srgbClr val="8d6974"/>
                </a:solidFill>
              </c:spPr>
            </c:marker>
          </c:dPt>
          <c:dPt>
            <c:idx val="1"/>
            <c:marker>
              <c:symbol val="circle"/>
              <c:size val="5"/>
              <c:spPr>
                <a:solidFill>
                  <a:srgbClr val="8d6974"/>
                </a:solidFill>
              </c:spPr>
            </c:marker>
          </c:dPt>
          <c:dPt>
            <c:idx val="2"/>
            <c:marker>
              <c:symbol val="circle"/>
              <c:size val="5"/>
              <c:spPr>
                <a:solidFill>
                  <a:srgbClr val="8d6974"/>
                </a:solidFill>
              </c:spPr>
            </c:marker>
          </c:dPt>
          <c:dPt>
            <c:idx val="3"/>
            <c:marker>
              <c:symbol val="circle"/>
              <c:size val="5"/>
              <c:spPr>
                <a:solidFill>
                  <a:srgbClr val="8d6974"/>
                </a:solidFill>
              </c:spPr>
            </c:marker>
          </c:dPt>
          <c:dPt>
            <c:idx val="4"/>
            <c:marker>
              <c:symbol val="circle"/>
              <c:size val="5"/>
              <c:spPr>
                <a:solidFill>
                  <a:srgbClr val="8d6974"/>
                </a:solidFill>
              </c:spPr>
            </c:marker>
          </c:dPt>
          <c:dPt>
            <c:idx val="5"/>
            <c:marker>
              <c:symbol val="circle"/>
              <c:size val="5"/>
              <c:spPr>
                <a:solidFill>
                  <a:srgbClr val="8d6974"/>
                </a:solidFill>
              </c:spPr>
            </c:marker>
          </c:dPt>
          <c:dPt>
            <c:idx val="6"/>
            <c:marker>
              <c:symbol val="circle"/>
              <c:size val="5"/>
              <c:spPr>
                <a:solidFill>
                  <a:srgbClr val="8d6974"/>
                </a:solidFill>
              </c:spPr>
            </c:marker>
          </c:dPt>
          <c:dPt>
            <c:idx val="7"/>
            <c:marker>
              <c:symbol val="circle"/>
              <c:size val="5"/>
              <c:spPr>
                <a:solidFill>
                  <a:srgbClr val="8d6974"/>
                </a:solidFill>
              </c:spPr>
            </c:marker>
          </c:dPt>
          <c:dPt>
            <c:idx val="8"/>
            <c:marker>
              <c:symbol val="circle"/>
              <c:size val="5"/>
              <c:spPr>
                <a:solidFill>
                  <a:srgbClr val="8d6974"/>
                </a:solidFill>
              </c:spPr>
            </c:marker>
          </c:dPt>
          <c:dLbls>
            <c:numFmt formatCode="General" sourceLinked="1"/>
            <c:dLbl>
              <c:idx val="0"/>
              <c:numFmt formatCode="General" sourceLinked="1"/>
              <c:txPr>
                <a:bodyPr/>
                <a:lstStyle/>
                <a:p>
                  <a:pPr>
                    <a:defRPr b="0" sz="1000" spc="-1" strike="noStrike">
                      <a:solidFill>
                        <a:srgbClr val="000000"/>
                      </a:solidFill>
                      <a:latin typeface="Calibri"/>
                    </a:defRPr>
                  </a:pPr>
                </a:p>
              </c:txPr>
              <c:dLblPos val="r"/>
              <c:showLegendKey val="1"/>
              <c:showVal val="1"/>
              <c:showCatName val="1"/>
              <c:showSerName val="0"/>
              <c:showPercent val="0"/>
              <c:separator>; </c:separator>
            </c:dLbl>
            <c:dLbl>
              <c:idx val="1"/>
              <c:numFmt formatCode="General" sourceLinked="1"/>
              <c:txPr>
                <a:bodyPr/>
                <a:lstStyle/>
                <a:p>
                  <a:pPr>
                    <a:defRPr b="0" sz="1000" spc="-1" strike="noStrike">
                      <a:solidFill>
                        <a:srgbClr val="000000"/>
                      </a:solidFill>
                      <a:latin typeface="Calibri"/>
                    </a:defRPr>
                  </a:pPr>
                </a:p>
              </c:txPr>
              <c:dLblPos val="r"/>
              <c:showLegendKey val="1"/>
              <c:showVal val="1"/>
              <c:showCatName val="1"/>
              <c:showSerName val="0"/>
              <c:showPercent val="0"/>
              <c:separator>; </c:separator>
            </c:dLbl>
            <c:dLbl>
              <c:idx val="2"/>
              <c:numFmt formatCode="General" sourceLinked="1"/>
              <c:txPr>
                <a:bodyPr/>
                <a:lstStyle/>
                <a:p>
                  <a:pPr>
                    <a:defRPr b="0" sz="1000" spc="-1" strike="noStrike">
                      <a:solidFill>
                        <a:srgbClr val="000000"/>
                      </a:solidFill>
                      <a:latin typeface="Calibri"/>
                    </a:defRPr>
                  </a:pPr>
                </a:p>
              </c:txPr>
              <c:dLblPos val="r"/>
              <c:showLegendKey val="1"/>
              <c:showVal val="1"/>
              <c:showCatName val="1"/>
              <c:showSerName val="0"/>
              <c:showPercent val="0"/>
              <c:separator>; </c:separator>
            </c:dLbl>
            <c:dLbl>
              <c:idx val="3"/>
              <c:numFmt formatCode="General" sourceLinked="1"/>
              <c:txPr>
                <a:bodyPr/>
                <a:lstStyle/>
                <a:p>
                  <a:pPr>
                    <a:defRPr b="0" sz="1000" spc="-1" strike="noStrike">
                      <a:solidFill>
                        <a:srgbClr val="000000"/>
                      </a:solidFill>
                      <a:latin typeface="Calibri"/>
                    </a:defRPr>
                  </a:pPr>
                </a:p>
              </c:txPr>
              <c:dLblPos val="r"/>
              <c:showLegendKey val="1"/>
              <c:showVal val="1"/>
              <c:showCatName val="1"/>
              <c:showSerName val="0"/>
              <c:showPercent val="0"/>
              <c:separator>; </c:separator>
            </c:dLbl>
            <c:dLbl>
              <c:idx val="4"/>
              <c:numFmt formatCode="General" sourceLinked="1"/>
              <c:txPr>
                <a:bodyPr/>
                <a:lstStyle/>
                <a:p>
                  <a:pPr>
                    <a:defRPr b="0" sz="1000" spc="-1" strike="noStrike">
                      <a:solidFill>
                        <a:srgbClr val="000000"/>
                      </a:solidFill>
                      <a:latin typeface="Calibri"/>
                    </a:defRPr>
                  </a:pPr>
                </a:p>
              </c:txPr>
              <c:dLblPos val="r"/>
              <c:showLegendKey val="1"/>
              <c:showVal val="1"/>
              <c:showCatName val="1"/>
              <c:showSerName val="0"/>
              <c:showPercent val="0"/>
              <c:separator>; </c:separator>
            </c:dLbl>
            <c:dLbl>
              <c:idx val="5"/>
              <c:numFmt formatCode="General" sourceLinked="1"/>
              <c:txPr>
                <a:bodyPr/>
                <a:lstStyle/>
                <a:p>
                  <a:pPr>
                    <a:defRPr b="0" sz="1000" spc="-1" strike="noStrike">
                      <a:solidFill>
                        <a:srgbClr val="000000"/>
                      </a:solidFill>
                      <a:latin typeface="Calibri"/>
                    </a:defRPr>
                  </a:pPr>
                </a:p>
              </c:txPr>
              <c:dLblPos val="r"/>
              <c:showLegendKey val="1"/>
              <c:showVal val="1"/>
              <c:showCatName val="1"/>
              <c:showSerName val="0"/>
              <c:showPercent val="0"/>
              <c:separator>; </c:separator>
            </c:dLbl>
            <c:dLbl>
              <c:idx val="6"/>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7"/>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8"/>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r"/>
            <c:showLegendKey val="0"/>
            <c:showVal val="1"/>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2</c:f>
              <c:numCache>
                <c:formatCode>General</c:formatCode>
                <c:ptCount val="9"/>
                <c:pt idx="0">
                  <c:v>33.6</c:v>
                </c:pt>
                <c:pt idx="1">
                  <c:v>33.6</c:v>
                </c:pt>
                <c:pt idx="2">
                  <c:v>33.6</c:v>
                </c:pt>
                <c:pt idx="3">
                  <c:v>33.6</c:v>
                </c:pt>
                <c:pt idx="4">
                  <c:v>33.6</c:v>
                </c:pt>
                <c:pt idx="5">
                  <c:v>33.6</c:v>
                </c:pt>
                <c:pt idx="6">
                  <c:v>75.6</c:v>
                </c:pt>
                <c:pt idx="7">
                  <c:v>80.3</c:v>
                </c:pt>
                <c:pt idx="8">
                  <c:v>95.5</c:v>
                </c:pt>
              </c:numCache>
            </c:numRef>
          </c:val>
          <c:smooth val="0"/>
        </c:ser>
        <c:hiLowLines>
          <c:spPr>
            <a:ln>
              <a:noFill/>
            </a:ln>
          </c:spPr>
        </c:hiLowLines>
        <c:marker val="1"/>
        <c:axId val="47300664"/>
        <c:axId val="20175642"/>
      </c:lineChart>
      <c:catAx>
        <c:axId val="47300664"/>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b="0" sz="1100" spc="-1" strike="noStrike">
                <a:solidFill>
                  <a:srgbClr val="000000"/>
                </a:solidFill>
                <a:latin typeface="Times New Roman"/>
              </a:defRPr>
            </a:pPr>
          </a:p>
        </c:txPr>
        <c:crossAx val="20175642"/>
        <c:crosses val="autoZero"/>
        <c:auto val="1"/>
        <c:lblAlgn val="ctr"/>
        <c:lblOffset val="100"/>
      </c:catAx>
      <c:valAx>
        <c:axId val="2017564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100" spc="-1" strike="noStrike">
                <a:solidFill>
                  <a:srgbClr val="000000"/>
                </a:solidFill>
                <a:latin typeface="Times New Roman"/>
              </a:defRPr>
            </a:pPr>
          </a:p>
        </c:txPr>
        <c:crossAx val="47300664"/>
        <c:crosses val="autoZero"/>
        <c:crossBetween val="midCat"/>
        <c:majorUnit val="50"/>
      </c:valAx>
      <c:spPr>
        <a:noFill/>
        <a:ln w="25560">
          <a:noFill/>
        </a:ln>
      </c:spPr>
    </c:plotArea>
    <c:legend>
      <c:legendPos val="r"/>
      <c:layout>
        <c:manualLayout>
          <c:xMode val="edge"/>
          <c:yMode val="edge"/>
          <c:x val="0.00775"/>
          <c:y val="0.599111111111111"/>
          <c:w val="0.98224889055566"/>
          <c:h val="0.387820868985443"/>
        </c:manualLayout>
      </c:layout>
      <c:overlay val="0"/>
      <c:spPr>
        <a:noFill/>
        <a:ln>
          <a:noFill/>
        </a:ln>
      </c:spPr>
      <c:txPr>
        <a:bodyPr/>
        <a:lstStyle/>
        <a:p>
          <a:pPr>
            <a:defRPr b="0" sz="1100" spc="-1" strike="noStrike">
              <a:solidFill>
                <a:srgbClr val="000000"/>
              </a:solidFill>
              <a:latin typeface="Times New Roman"/>
            </a:defRPr>
          </a:pPr>
        </a:p>
      </c:txPr>
    </c:legend>
    <c:plotVisOnly val="1"/>
    <c:dispBlanksAs val="zero"/>
  </c:chart>
  <c:spPr>
    <a:solidFill>
      <a:srgbClr val="ffffff"/>
    </a:solidFill>
    <a:ln w="9360">
      <a:noFill/>
    </a:ln>
  </c:spPr>
</c:chartSpace>
</file>

<file path=word/charts/chart29.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noFill/>
        </a:ln>
      </c:spPr>
    </c:floor>
    <c:sideWall>
      <c:spPr>
        <a:noFill/>
        <a:ln w="9360">
          <a:noFill/>
        </a:ln>
      </c:spPr>
    </c:sideWall>
    <c:backWall>
      <c:spPr>
        <a:noFill/>
        <a:ln w="9360">
          <a:noFill/>
        </a:ln>
      </c:spPr>
    </c:backWall>
    <c:plotArea>
      <c:bar3DChart>
        <c:barDir val="col"/>
        <c:grouping val="clustered"/>
        <c:varyColors val="0"/>
        <c:ser>
          <c:idx val="0"/>
          <c:order val="0"/>
          <c:tx>
            <c:strRef>
              <c:f>label 0</c:f>
              <c:strCache>
                <c:ptCount val="1"/>
                <c:pt idx="0">
                  <c:v>1</c:v>
                </c:pt>
              </c:strCache>
            </c:strRef>
          </c:tx>
          <c:spPr>
            <a:solidFill>
              <a:srgbClr val="6f6f74"/>
            </a:soli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6"/>
                <c:pt idx="0">
                  <c:v>2012</c:v>
                </c:pt>
                <c:pt idx="1">
                  <c:v>2013</c:v>
                </c:pt>
                <c:pt idx="2">
                  <c:v>2014</c:v>
                </c:pt>
                <c:pt idx="3">
                  <c:v>2015</c:v>
                </c:pt>
                <c:pt idx="4">
                  <c:v>2016</c:v>
                </c:pt>
                <c:pt idx="5">
                  <c:v>2017</c:v>
                </c:pt>
              </c:strCache>
            </c:strRef>
          </c:cat>
          <c:val>
            <c:numRef>
              <c:f>0</c:f>
              <c:numCache>
                <c:formatCode>General</c:formatCode>
                <c:ptCount val="6"/>
                <c:pt idx="0">
                  <c:v>50</c:v>
                </c:pt>
                <c:pt idx="1">
                  <c:v>50</c:v>
                </c:pt>
                <c:pt idx="2">
                  <c:v>52</c:v>
                </c:pt>
                <c:pt idx="3">
                  <c:v>57.8</c:v>
                </c:pt>
                <c:pt idx="4">
                  <c:v>54.8</c:v>
                </c:pt>
                <c:pt idx="5">
                  <c:v>50.3</c:v>
                </c:pt>
              </c:numCache>
            </c:numRef>
          </c:val>
        </c:ser>
        <c:gapWidth val="150"/>
        <c:shape val="box"/>
        <c:axId val="5241359"/>
        <c:axId val="81084355"/>
        <c:axId val="0"/>
      </c:bar3DChart>
      <c:catAx>
        <c:axId val="5241359"/>
        <c:scaling>
          <c:orientation val="minMax"/>
        </c:scaling>
        <c:delete val="0"/>
        <c:axPos val="b"/>
        <c:numFmt formatCode="[$-419]DD/MM/YYYY" sourceLinked="1"/>
        <c:majorTickMark val="none"/>
        <c:minorTickMark val="none"/>
        <c:tickLblPos val="nextTo"/>
        <c:spPr>
          <a:ln w="9360">
            <a:noFill/>
          </a:ln>
        </c:spPr>
        <c:txPr>
          <a:bodyPr/>
          <a:lstStyle/>
          <a:p>
            <a:pPr>
              <a:defRPr b="0" sz="1000" spc="-1" strike="noStrike">
                <a:solidFill>
                  <a:srgbClr val="000000"/>
                </a:solidFill>
                <a:latin typeface="Times New Roman"/>
              </a:defRPr>
            </a:pPr>
          </a:p>
        </c:txPr>
        <c:crossAx val="81084355"/>
        <c:crosses val="autoZero"/>
        <c:auto val="1"/>
        <c:lblAlgn val="ctr"/>
        <c:lblOffset val="100"/>
      </c:catAx>
      <c:valAx>
        <c:axId val="81084355"/>
        <c:scaling>
          <c:orientation val="minMax"/>
          <c:min val="0"/>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000" spc="-1" strike="noStrike">
                <a:solidFill>
                  <a:srgbClr val="000000"/>
                </a:solidFill>
                <a:latin typeface="Times New Roman"/>
              </a:defRPr>
            </a:pPr>
          </a:p>
        </c:txPr>
        <c:crossAx val="5241359"/>
        <c:crosses val="autoZero"/>
        <c:majorUnit val="20"/>
      </c:valAx>
    </c:plotArea>
    <c:plotVisOnly val="1"/>
    <c:dispBlanksAs val="gap"/>
  </c:chart>
  <c:spPr>
    <a:solidFill>
      <a:srgbClr val="ffffff"/>
    </a:solid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заработная плата работников в промышленности, рублей</c:v>
                </c:pt>
              </c:strCache>
            </c:strRef>
          </c:tx>
          <c:spPr>
            <a:gradFill>
              <a:gsLst>
                <a:gs pos="0">
                  <a:srgbClr val="7e8d61"/>
                </a:gs>
                <a:gs pos="100000">
                  <a:srgbClr val="a3b87d"/>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dLblPos val="inBase"/>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6953.2</c:v>
                </c:pt>
                <c:pt idx="1">
                  <c:v>10619.5</c:v>
                </c:pt>
                <c:pt idx="2">
                  <c:v>14292.2</c:v>
                </c:pt>
                <c:pt idx="3">
                  <c:v>15373.7</c:v>
                </c:pt>
                <c:pt idx="4">
                  <c:v>16875.5</c:v>
                </c:pt>
                <c:pt idx="5">
                  <c:v>18223.8</c:v>
                </c:pt>
                <c:pt idx="6">
                  <c:v>21448.6</c:v>
                </c:pt>
                <c:pt idx="7">
                  <c:v>23776.4</c:v>
                </c:pt>
                <c:pt idx="8">
                  <c:v>17499.4</c:v>
                </c:pt>
                <c:pt idx="9">
                  <c:v>15944.3</c:v>
                </c:pt>
              </c:numCache>
            </c:numRef>
          </c:val>
        </c:ser>
        <c:gapWidth val="150"/>
        <c:overlap val="0"/>
        <c:axId val="38973034"/>
        <c:axId val="79936337"/>
      </c:barChart>
      <c:lineChart>
        <c:grouping val="standard"/>
        <c:varyColors val="0"/>
        <c:ser>
          <c:idx val="1"/>
          <c:order val="1"/>
          <c:tx>
            <c:strRef>
              <c:f>label 1</c:f>
              <c:strCache>
                <c:ptCount val="1"/>
                <c:pt idx="0">
                  <c:v>темп роста заработной платы работников в промышленности, %</c:v>
                </c:pt>
              </c:strCache>
            </c:strRef>
          </c:tx>
          <c:spPr>
            <a:solidFill>
              <a:srgbClr val="6c6c71"/>
            </a:solidFill>
            <a:ln w="47520">
              <a:solidFill>
                <a:srgbClr val="6c6c71"/>
              </a:solidFill>
              <a:round/>
            </a:ln>
          </c:spPr>
          <c:marker>
            <c:symbol val="triangle"/>
            <c:size val="8"/>
            <c:spPr>
              <a:solidFill>
                <a:srgbClr val="6c6c71"/>
              </a:solidFill>
            </c:spPr>
          </c:marker>
          <c:dLbls>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100</c:v>
                </c:pt>
                <c:pt idx="1">
                  <c:v>152.7</c:v>
                </c:pt>
                <c:pt idx="2">
                  <c:v>134.6</c:v>
                </c:pt>
                <c:pt idx="3">
                  <c:v>107.6</c:v>
                </c:pt>
                <c:pt idx="4">
                  <c:v>109.8</c:v>
                </c:pt>
                <c:pt idx="5">
                  <c:v>108</c:v>
                </c:pt>
                <c:pt idx="6">
                  <c:v>117.7</c:v>
                </c:pt>
                <c:pt idx="7">
                  <c:v>110.9</c:v>
                </c:pt>
                <c:pt idx="8">
                  <c:v>73.6</c:v>
                </c:pt>
                <c:pt idx="9">
                  <c:v>91.1</c:v>
                </c:pt>
              </c:numCache>
            </c:numRef>
          </c:val>
          <c:smooth val="0"/>
        </c:ser>
        <c:hiLowLines>
          <c:spPr>
            <a:ln>
              <a:noFill/>
            </a:ln>
          </c:spPr>
        </c:hiLowLines>
        <c:marker val="1"/>
        <c:axId val="98061008"/>
        <c:axId val="49749837"/>
      </c:lineChart>
      <c:catAx>
        <c:axId val="3897303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79936337"/>
        <c:crosses val="autoZero"/>
        <c:auto val="1"/>
        <c:lblAlgn val="ctr"/>
        <c:lblOffset val="100"/>
      </c:catAx>
      <c:valAx>
        <c:axId val="79936337"/>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38973034"/>
        <c:crosses val="autoZero"/>
      </c:valAx>
      <c:catAx>
        <c:axId val="98061008"/>
        <c:scaling>
          <c:orientation val="minMax"/>
        </c:scaling>
        <c:delete val="1"/>
        <c:axPos val="t"/>
        <c:numFmt formatCode="[$-419]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49749837"/>
        <c:auto val="1"/>
        <c:lblAlgn val="ctr"/>
        <c:lblOffset val="100"/>
      </c:catAx>
      <c:valAx>
        <c:axId val="49749837"/>
        <c:scaling>
          <c:orientation val="minMax"/>
        </c:scaling>
        <c:delete val="0"/>
        <c:axPos val="r"/>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98061008"/>
        <c:crosses val="max"/>
      </c:valAx>
      <c:spPr>
        <a:solidFill>
          <a:srgbClr val="ffffff"/>
        </a:solid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30.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число происшествий, единиц</c:v>
                </c:pt>
              </c:strCache>
            </c:strRef>
          </c:tx>
          <c:spPr>
            <a:solidFill>
              <a:srgbClr val="6f6f74"/>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29</c:v>
                </c:pt>
                <c:pt idx="1">
                  <c:v>28</c:v>
                </c:pt>
                <c:pt idx="2">
                  <c:v>27</c:v>
                </c:pt>
                <c:pt idx="3">
                  <c:v>32</c:v>
                </c:pt>
                <c:pt idx="4">
                  <c:v>29</c:v>
                </c:pt>
                <c:pt idx="5">
                  <c:v>37</c:v>
                </c:pt>
                <c:pt idx="6">
                  <c:v>24</c:v>
                </c:pt>
                <c:pt idx="7">
                  <c:v>26</c:v>
                </c:pt>
                <c:pt idx="8">
                  <c:v>25</c:v>
                </c:pt>
              </c:numCache>
            </c:numRef>
          </c:val>
        </c:ser>
        <c:ser>
          <c:idx val="1"/>
          <c:order val="1"/>
          <c:tx>
            <c:strRef>
              <c:f>label 1</c:f>
              <c:strCache>
                <c:ptCount val="1"/>
                <c:pt idx="0">
                  <c:v>погибло, человек</c:v>
                </c:pt>
              </c:strCache>
            </c:strRef>
          </c:tx>
          <c:spPr>
            <a:solidFill>
              <a:srgbClr val="a7b789"/>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9</c:v>
                </c:pt>
                <c:pt idx="1">
                  <c:v>9</c:v>
                </c:pt>
                <c:pt idx="2">
                  <c:v>5</c:v>
                </c:pt>
                <c:pt idx="3">
                  <c:v>5</c:v>
                </c:pt>
                <c:pt idx="4">
                  <c:v>9</c:v>
                </c:pt>
                <c:pt idx="5">
                  <c:v>8</c:v>
                </c:pt>
                <c:pt idx="6">
                  <c:v>8</c:v>
                </c:pt>
                <c:pt idx="7">
                  <c:v>5</c:v>
                </c:pt>
                <c:pt idx="8">
                  <c:v>5</c:v>
                </c:pt>
              </c:numCache>
            </c:numRef>
          </c:val>
        </c:ser>
        <c:ser>
          <c:idx val="2"/>
          <c:order val="2"/>
          <c:tx>
            <c:strRef>
              <c:f>label 2</c:f>
              <c:strCache>
                <c:ptCount val="1"/>
                <c:pt idx="0">
                  <c:v>ранено, человек</c:v>
                </c:pt>
              </c:strCache>
            </c:strRef>
          </c:tx>
          <c:spPr>
            <a:solidFill>
              <a:srgbClr val="beae98"/>
            </a:soli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2</c:f>
              <c:numCache>
                <c:formatCode>General</c:formatCode>
                <c:ptCount val="9"/>
                <c:pt idx="0">
                  <c:v>30</c:v>
                </c:pt>
                <c:pt idx="1">
                  <c:v>33</c:v>
                </c:pt>
                <c:pt idx="2">
                  <c:v>34</c:v>
                </c:pt>
                <c:pt idx="3">
                  <c:v>46</c:v>
                </c:pt>
                <c:pt idx="4">
                  <c:v>35</c:v>
                </c:pt>
                <c:pt idx="5">
                  <c:v>63</c:v>
                </c:pt>
                <c:pt idx="6">
                  <c:v>30</c:v>
                </c:pt>
                <c:pt idx="7">
                  <c:v>29</c:v>
                </c:pt>
                <c:pt idx="8">
                  <c:v>38</c:v>
                </c:pt>
              </c:numCache>
            </c:numRef>
          </c:val>
        </c:ser>
        <c:gapWidth val="219"/>
        <c:overlap val="-27"/>
        <c:axId val="5828241"/>
        <c:axId val="69677843"/>
      </c:barChart>
      <c:catAx>
        <c:axId val="5828241"/>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b="0" sz="1100" spc="-1" strike="noStrike">
                <a:solidFill>
                  <a:srgbClr val="000000"/>
                </a:solidFill>
                <a:latin typeface="Times New Roman"/>
              </a:defRPr>
            </a:pPr>
          </a:p>
        </c:txPr>
        <c:crossAx val="69677843"/>
        <c:crosses val="autoZero"/>
        <c:auto val="1"/>
        <c:lblAlgn val="ctr"/>
        <c:lblOffset val="100"/>
      </c:catAx>
      <c:valAx>
        <c:axId val="6967784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100" spc="-1" strike="noStrike">
                <a:solidFill>
                  <a:srgbClr val="000000"/>
                </a:solidFill>
                <a:latin typeface="Times New Roman"/>
              </a:defRPr>
            </a:pPr>
          </a:p>
        </c:txPr>
        <c:crossAx val="5828241"/>
        <c:crosses val="autoZero"/>
      </c:valAx>
      <c:spPr>
        <a:noFill/>
        <a:ln>
          <a:noFill/>
        </a:ln>
      </c:spPr>
    </c:plotArea>
    <c:legend>
      <c:legendPos val="b"/>
      <c:overlay val="0"/>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31.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Перевезено грузов, тыс. тонн</c:v>
                </c:pt>
              </c:strCache>
            </c:strRef>
          </c:tx>
          <c:spPr>
            <a:solidFill>
              <a:srgbClr val="6f6f74"/>
            </a:solidFill>
            <a:ln w="28440">
              <a:solidFill>
                <a:srgbClr val="6f6f74"/>
              </a:solidFill>
              <a:round/>
            </a:ln>
          </c:spPr>
          <c:marker>
            <c:symbol val="circle"/>
            <c:size val="5"/>
            <c:spPr>
              <a:solidFill>
                <a:srgbClr val="6f6f74"/>
              </a:solidFill>
            </c:spPr>
          </c:marker>
          <c:dLbls>
            <c:numFmt formatCode="General" sourceLinked="1"/>
            <c:txPr>
              <a:bodyPr/>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188.9</c:v>
                </c:pt>
                <c:pt idx="1">
                  <c:v>108.5</c:v>
                </c:pt>
                <c:pt idx="2">
                  <c:v>93.8</c:v>
                </c:pt>
                <c:pt idx="3">
                  <c:v>95.4</c:v>
                </c:pt>
                <c:pt idx="4">
                  <c:v>90</c:v>
                </c:pt>
                <c:pt idx="5">
                  <c:v>60.3</c:v>
                </c:pt>
                <c:pt idx="6">
                  <c:v>37.9</c:v>
                </c:pt>
                <c:pt idx="7">
                  <c:v>33.9</c:v>
                </c:pt>
                <c:pt idx="8">
                  <c:v>45.2</c:v>
                </c:pt>
              </c:numCache>
            </c:numRef>
          </c:val>
          <c:smooth val="0"/>
        </c:ser>
        <c:hiLowLines>
          <c:spPr>
            <a:ln>
              <a:noFill/>
            </a:ln>
          </c:spPr>
        </c:hiLowLines>
        <c:marker val="1"/>
        <c:axId val="45010078"/>
        <c:axId val="60886700"/>
      </c:lineChart>
      <c:lineChart>
        <c:grouping val="standard"/>
        <c:varyColors val="0"/>
        <c:ser>
          <c:idx val="1"/>
          <c:order val="1"/>
          <c:tx>
            <c:strRef>
              <c:f>label 1</c:f>
              <c:strCache>
                <c:ptCount val="1"/>
                <c:pt idx="0">
                  <c:v>Грузооборот, тыс.тонно-км</c:v>
                </c:pt>
              </c:strCache>
            </c:strRef>
          </c:tx>
          <c:spPr>
            <a:solidFill>
              <a:srgbClr val="a7b789"/>
            </a:solidFill>
            <a:ln w="28440">
              <a:solidFill>
                <a:srgbClr val="a7b789"/>
              </a:solidFill>
              <a:round/>
            </a:ln>
          </c:spPr>
          <c:marker>
            <c:symbol val="circle"/>
            <c:size val="5"/>
            <c:spPr>
              <a:solidFill>
                <a:srgbClr val="a7b789"/>
              </a:solidFill>
            </c:spPr>
          </c:marker>
          <c:dPt>
            <c:idx val="4"/>
            <c:marker>
              <c:symbol val="circle"/>
              <c:size val="5"/>
              <c:spPr>
                <a:solidFill>
                  <a:srgbClr val="a7b789"/>
                </a:solidFill>
              </c:spPr>
            </c:marker>
          </c:dPt>
          <c:dPt>
            <c:idx val="5"/>
            <c:marker>
              <c:symbol val="circle"/>
              <c:size val="5"/>
              <c:spPr>
                <a:solidFill>
                  <a:srgbClr val="a7b789"/>
                </a:solidFill>
              </c:spPr>
            </c:marker>
          </c:dPt>
          <c:dPt>
            <c:idx val="6"/>
            <c:marker>
              <c:symbol val="circle"/>
              <c:size val="5"/>
              <c:spPr>
                <a:solidFill>
                  <a:srgbClr val="a7b789"/>
                </a:solidFill>
              </c:spPr>
            </c:marker>
          </c:dPt>
          <c:dPt>
            <c:idx val="7"/>
            <c:marker>
              <c:symbol val="circle"/>
              <c:size val="5"/>
              <c:spPr>
                <a:solidFill>
                  <a:srgbClr val="a7b789"/>
                </a:solidFill>
              </c:spPr>
            </c:marker>
          </c:dPt>
          <c:dLbls>
            <c:numFmt formatCode="General" sourceLinked="1"/>
            <c:dLbl>
              <c:idx val="4"/>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5"/>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6"/>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7"/>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5992.8</c:v>
                </c:pt>
                <c:pt idx="1">
                  <c:v>6223.8</c:v>
                </c:pt>
                <c:pt idx="2">
                  <c:v>4625.8</c:v>
                </c:pt>
                <c:pt idx="3">
                  <c:v>4510.2</c:v>
                </c:pt>
                <c:pt idx="4">
                  <c:v>2845.6</c:v>
                </c:pt>
                <c:pt idx="5">
                  <c:v>2702.5</c:v>
                </c:pt>
                <c:pt idx="6">
                  <c:v>911.3</c:v>
                </c:pt>
                <c:pt idx="7">
                  <c:v>809</c:v>
                </c:pt>
                <c:pt idx="8">
                  <c:v>2768.7</c:v>
                </c:pt>
              </c:numCache>
            </c:numRef>
          </c:val>
          <c:smooth val="0"/>
        </c:ser>
        <c:hiLowLines>
          <c:spPr>
            <a:ln>
              <a:noFill/>
            </a:ln>
          </c:spPr>
        </c:hiLowLines>
        <c:marker val="1"/>
        <c:axId val="57064454"/>
        <c:axId val="63535407"/>
      </c:lineChart>
      <c:catAx>
        <c:axId val="45010078"/>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defRPr>
            </a:pPr>
          </a:p>
        </c:txPr>
        <c:crossAx val="60886700"/>
        <c:crosses val="autoZero"/>
        <c:auto val="1"/>
        <c:lblAlgn val="ctr"/>
        <c:lblOffset val="100"/>
      </c:catAx>
      <c:valAx>
        <c:axId val="6088670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45010078"/>
        <c:crosses val="autoZero"/>
        <c:crossBetween val="midCat"/>
      </c:valAx>
      <c:catAx>
        <c:axId val="57064454"/>
        <c:scaling>
          <c:orientation val="minMax"/>
        </c:scaling>
        <c:delete val="1"/>
        <c:axPos val="t"/>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63535407"/>
        <c:auto val="1"/>
        <c:lblAlgn val="ctr"/>
        <c:lblOffset val="100"/>
      </c:catAx>
      <c:valAx>
        <c:axId val="63535407"/>
        <c:scaling>
          <c:orientation val="minMax"/>
        </c:scaling>
        <c:delete val="0"/>
        <c:axPos val="r"/>
        <c:numFmt formatCode="General" sourceLinked="0"/>
        <c:majorTickMark val="out"/>
        <c:minorTickMark val="none"/>
        <c:tickLblPos val="nextTo"/>
        <c:spPr>
          <a:ln w="9360">
            <a:noFill/>
          </a:ln>
        </c:spPr>
        <c:txPr>
          <a:bodyPr/>
          <a:lstStyle/>
          <a:p>
            <a:pPr>
              <a:defRPr b="0" sz="1200" spc="-1" strike="noStrike">
                <a:solidFill>
                  <a:srgbClr val="000000"/>
                </a:solidFill>
                <a:latin typeface="Times New Roman"/>
              </a:defRPr>
            </a:pPr>
          </a:p>
        </c:txPr>
        <c:crossAx val="57064454"/>
        <c:crosses val="max"/>
        <c:crossBetween val="midCat"/>
      </c:valAx>
      <c:spPr>
        <a:no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solidFill>
        <a:srgbClr val="d9d9d9"/>
      </a:solidFill>
      <a:round/>
    </a:ln>
  </c:spPr>
</c:chartSpace>
</file>

<file path=word/charts/chart32.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stacked"/>
        <c:varyColors val="0"/>
        <c:ser>
          <c:idx val="0"/>
          <c:order val="0"/>
          <c:tx>
            <c:strRef>
              <c:f>label 0</c:f>
              <c:strCache>
                <c:ptCount val="1"/>
                <c:pt idx="0">
                  <c:v>Безвозмездные перечисления</c:v>
                </c:pt>
              </c:strCache>
            </c:strRef>
          </c:tx>
          <c:spPr>
            <a:gradFill>
              <a:gsLst>
                <a:gs pos="0">
                  <a:srgbClr val="515157"/>
                </a:gs>
                <a:gs pos="100000">
                  <a:srgbClr val="6a6a71"/>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dLblPos val="ctr"/>
            <c:showLegendKey val="0"/>
            <c:showVal val="0"/>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0</c:f>
              <c:numCache>
                <c:formatCode>General</c:formatCode>
                <c:ptCount val="10"/>
                <c:pt idx="0">
                  <c:v>203169.3</c:v>
                </c:pt>
                <c:pt idx="1">
                  <c:v>198309.3</c:v>
                </c:pt>
                <c:pt idx="2">
                  <c:v>231449.5</c:v>
                </c:pt>
                <c:pt idx="3">
                  <c:v>227974.4</c:v>
                </c:pt>
                <c:pt idx="4">
                  <c:v>264308.7</c:v>
                </c:pt>
                <c:pt idx="5">
                  <c:v>250661.8</c:v>
                </c:pt>
                <c:pt idx="6">
                  <c:v>217946.1</c:v>
                </c:pt>
                <c:pt idx="7">
                  <c:v>245711.1</c:v>
                </c:pt>
                <c:pt idx="8">
                  <c:v>271712.4</c:v>
                </c:pt>
                <c:pt idx="9">
                  <c:v>307059.1</c:v>
                </c:pt>
              </c:numCache>
            </c:numRef>
          </c:val>
        </c:ser>
        <c:ser>
          <c:idx val="1"/>
          <c:order val="1"/>
          <c:tx>
            <c:strRef>
              <c:f>label 1</c:f>
              <c:strCache>
                <c:ptCount val="1"/>
                <c:pt idx="0">
                  <c:v>Налоговые и неналоговые доходы бюджета</c:v>
                </c:pt>
              </c:strCache>
            </c:strRef>
          </c:tx>
          <c:spPr>
            <a:gradFill>
              <a:gsLst>
                <a:gs pos="0">
                  <a:srgbClr val="7e8d61"/>
                </a:gs>
                <a:gs pos="100000">
                  <a:srgbClr val="a3b87d"/>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dLblPos val="ctr"/>
            <c:showLegendKey val="0"/>
            <c:showVal val="0"/>
            <c:showCatName val="0"/>
            <c:showSerName val="0"/>
            <c:showPercent val="0"/>
            <c:separator>; </c:separator>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1</c:f>
              <c:numCache>
                <c:formatCode>General</c:formatCode>
                <c:ptCount val="10"/>
                <c:pt idx="0">
                  <c:v>53499.1</c:v>
                </c:pt>
                <c:pt idx="1">
                  <c:v>51986.3</c:v>
                </c:pt>
                <c:pt idx="2">
                  <c:v>54970.3</c:v>
                </c:pt>
                <c:pt idx="3">
                  <c:v>46458.3</c:v>
                </c:pt>
                <c:pt idx="4">
                  <c:v>47650.7</c:v>
                </c:pt>
                <c:pt idx="5">
                  <c:v>56185.8</c:v>
                </c:pt>
                <c:pt idx="6">
                  <c:v>60413.4</c:v>
                </c:pt>
                <c:pt idx="7">
                  <c:v>60675.5</c:v>
                </c:pt>
                <c:pt idx="8">
                  <c:v>62438.6</c:v>
                </c:pt>
                <c:pt idx="9">
                  <c:v>66454.2</c:v>
                </c:pt>
              </c:numCache>
            </c:numRef>
          </c:val>
        </c:ser>
        <c:gapWidth val="300"/>
        <c:overlap val="100"/>
        <c:axId val="50858954"/>
        <c:axId val="49322069"/>
      </c:barChart>
      <c:catAx>
        <c:axId val="5085895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9322069"/>
        <c:crosses val="autoZero"/>
        <c:auto val="1"/>
        <c:lblAlgn val="ctr"/>
        <c:lblOffset val="100"/>
      </c:catAx>
      <c:valAx>
        <c:axId val="49322069"/>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50858954"/>
        <c:crosses val="autoZero"/>
      </c:valAx>
      <c:spPr>
        <a:solidFill>
          <a:srgbClr val="ffffff"/>
        </a:solid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33.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Безымянные ряды 1</c:v>
                </c:pt>
              </c:strCache>
            </c:strRef>
          </c:tx>
          <c:spPr>
            <a:gradFill>
              <a:gsLst>
                <a:gs pos="0">
                  <a:srgbClr val="515157"/>
                </a:gs>
                <a:gs pos="100000">
                  <a:srgbClr val="6a6a71"/>
                </a:gs>
              </a:gsLst>
              <a:lin ang="16200000"/>
            </a:gradFill>
            <a:ln>
              <a:noFill/>
            </a:ln>
          </c:spPr>
          <c:explosion val="0"/>
          <c:dPt>
            <c:idx val="0"/>
            <c:spPr>
              <a:gradFill>
                <a:gsLst>
                  <a:gs pos="0">
                    <a:srgbClr val="49494c"/>
                  </a:gs>
                  <a:gs pos="100000">
                    <a:srgbClr val="5d5d64"/>
                  </a:gs>
                </a:gsLst>
                <a:lin ang="16200000"/>
              </a:gradFill>
              <a:ln>
                <a:noFill/>
              </a:ln>
            </c:spPr>
          </c:dPt>
          <c:dPt>
            <c:idx val="1"/>
            <c:spPr>
              <a:gradFill>
                <a:gsLst>
                  <a:gs pos="0">
                    <a:srgbClr val="6f7e57"/>
                  </a:gs>
                  <a:gs pos="100000">
                    <a:srgbClr val="91a370"/>
                  </a:gs>
                </a:gsLst>
                <a:lin ang="16200000"/>
              </a:gradFill>
              <a:ln>
                <a:noFill/>
              </a:ln>
            </c:spPr>
          </c:dPt>
          <c:dPt>
            <c:idx val="2"/>
            <c:spPr>
              <a:gradFill>
                <a:gsLst>
                  <a:gs pos="0">
                    <a:srgbClr val="827460"/>
                  </a:gs>
                  <a:gs pos="100000">
                    <a:srgbClr val="a8977d"/>
                  </a:gs>
                </a:gsLst>
                <a:lin ang="16200000"/>
              </a:gradFill>
              <a:ln>
                <a:noFill/>
              </a:ln>
            </c:spPr>
          </c:dPt>
          <c:dPt>
            <c:idx val="3"/>
            <c:spPr>
              <a:gradFill>
                <a:gsLst>
                  <a:gs pos="0">
                    <a:srgbClr val="5d6f7e"/>
                  </a:gs>
                  <a:gs pos="100000">
                    <a:srgbClr val="7892a3"/>
                  </a:gs>
                </a:gsLst>
                <a:lin ang="16200000"/>
              </a:gradFill>
              <a:ln>
                <a:noFill/>
              </a:ln>
            </c:spPr>
          </c:dPt>
          <c:dPt>
            <c:idx val="4"/>
            <c:spPr>
              <a:gradFill>
                <a:gsLst>
                  <a:gs pos="0">
                    <a:srgbClr val="6b553d"/>
                  </a:gs>
                  <a:gs pos="100000">
                    <a:srgbClr val="8c6f4f"/>
                  </a:gs>
                </a:gsLst>
                <a:lin ang="16200000"/>
              </a:gradFill>
              <a:ln>
                <a:noFill/>
              </a:ln>
            </c:spPr>
          </c:dPt>
          <c:dPt>
            <c:idx val="5"/>
            <c:spPr>
              <a:gradFill>
                <a:gsLst>
                  <a:gs pos="0">
                    <a:srgbClr val="61414b"/>
                  </a:gs>
                  <a:gs pos="100000">
                    <a:srgbClr val="7e5561"/>
                  </a:gs>
                </a:gsLst>
                <a:lin ang="16200000"/>
              </a:gradFill>
              <a:ln>
                <a:noFill/>
              </a:ln>
            </c:spPr>
          </c:dPt>
          <c:dPt>
            <c:idx val="6"/>
            <c:spPr>
              <a:gradFill>
                <a:gsLst>
                  <a:gs pos="0">
                    <a:srgbClr val="777779"/>
                  </a:gs>
                  <a:gs pos="100000">
                    <a:srgbClr val="9b9b9d"/>
                  </a:gs>
                </a:gsLst>
                <a:lin ang="16200000"/>
              </a:gradFill>
              <a:ln>
                <a:noFill/>
              </a:ln>
            </c:spPr>
          </c:dPt>
          <c:dPt>
            <c:idx val="7"/>
            <c:spPr>
              <a:gradFill>
                <a:gsLst>
                  <a:gs pos="0">
                    <a:srgbClr val="90997e"/>
                  </a:gs>
                  <a:gs pos="100000">
                    <a:srgbClr val="bbc7a4"/>
                  </a:gs>
                </a:gsLst>
                <a:lin ang="16200000"/>
              </a:gradFill>
              <a:ln>
                <a:noFill/>
              </a:ln>
            </c:spPr>
          </c:dPt>
          <c:dPt>
            <c:idx val="8"/>
            <c:spPr>
              <a:gradFill>
                <a:gsLst>
                  <a:gs pos="0">
                    <a:srgbClr val="9d9285"/>
                  </a:gs>
                  <a:gs pos="100000">
                    <a:srgbClr val="cbbdae"/>
                  </a:gs>
                </a:gsLst>
                <a:lin ang="16200000"/>
              </a:gradFill>
              <a:ln>
                <a:noFill/>
              </a:ln>
            </c:spPr>
          </c:dPt>
          <c:dPt>
            <c:idx val="9"/>
            <c:spPr>
              <a:gradFill>
                <a:gsLst>
                  <a:gs pos="0">
                    <a:srgbClr val="82909b"/>
                  </a:gs>
                  <a:gs pos="100000">
                    <a:srgbClr val="a9bcc9"/>
                  </a:gs>
                </a:gsLst>
                <a:lin ang="162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1"/>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2"/>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3"/>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4"/>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5"/>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6"/>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7"/>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8"/>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dLbl>
              <c:idx val="9"/>
              <c:numFmt formatCode="General" sourceLinked="0"/>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dLbl>
            <c:txPr>
              <a:bodyPr/>
              <a:lstStyle/>
              <a:p>
                <a:pPr>
                  <a:defRPr b="0" sz="1000" spc="-1" strike="noStrike">
                    <a:solidFill>
                      <a:srgbClr val="000000"/>
                    </a:solidFill>
                    <a:latin typeface="Calibri"/>
                  </a:defRPr>
                </a:pPr>
              </a:p>
            </c:txPr>
            <c:dLblPos val="bestFit"/>
            <c:showLegendKey val="0"/>
            <c:showVal val="0"/>
            <c:showCatName val="0"/>
            <c:showSerName val="0"/>
            <c:showPercent val="1"/>
            <c:separator>
</c:separator>
            <c:showLeaderLines val="0"/>
          </c:dLbls>
          <c:cat>
            <c:strRef>
              <c:f>categories</c:f>
              <c:strCache>
                <c:ptCount val="10"/>
                <c:pt idx="0">
                  <c:v>Образование</c:v>
                </c:pt>
                <c:pt idx="1">
                  <c:v>Общегосударственные вопросы</c:v>
                </c:pt>
                <c:pt idx="2">
                  <c:v>Культура, кинематография</c:v>
                </c:pt>
                <c:pt idx="3">
                  <c:v>Национальная экономика</c:v>
                </c:pt>
                <c:pt idx="4">
                  <c:v>Социальная политика</c:v>
                </c:pt>
                <c:pt idx="5">
                  <c:v>Жилищно-коммунальное хозяйство</c:v>
                </c:pt>
                <c:pt idx="6">
                  <c:v>Национальная безопасность и правоохранительная деятельность</c:v>
                </c:pt>
                <c:pt idx="7">
                  <c:v>Национальная оборона</c:v>
                </c:pt>
                <c:pt idx="8">
                  <c:v>Физическая культура и спорт</c:v>
                </c:pt>
                <c:pt idx="9">
                  <c:v>Здравоохранение</c:v>
                </c:pt>
              </c:strCache>
            </c:strRef>
          </c:cat>
          <c:val>
            <c:numRef>
              <c:f>0</c:f>
              <c:numCache>
                <c:formatCode>General</c:formatCode>
                <c:ptCount val="10"/>
                <c:pt idx="0">
                  <c:v>56.7375716650568</c:v>
                </c:pt>
                <c:pt idx="1">
                  <c:v>11.806638977125</c:v>
                </c:pt>
                <c:pt idx="2">
                  <c:v>10.3186109405895</c:v>
                </c:pt>
                <c:pt idx="3">
                  <c:v>8.66383204560728</c:v>
                </c:pt>
                <c:pt idx="4">
                  <c:v>6.25339940571458</c:v>
                </c:pt>
                <c:pt idx="5">
                  <c:v>5.79238549267532</c:v>
                </c:pt>
                <c:pt idx="6">
                  <c:v>0.241110545646164</c:v>
                </c:pt>
                <c:pt idx="7">
                  <c:v>0.130553327037564</c:v>
                </c:pt>
                <c:pt idx="8">
                  <c:v>0.0419837539019997</c:v>
                </c:pt>
                <c:pt idx="9">
                  <c:v>0.0139138466457268</c:v>
                </c:pt>
              </c:numCache>
            </c:numRef>
          </c:val>
        </c:ser>
        <c:firstSliceAng val="0"/>
      </c:pieChart>
      <c:spPr>
        <a:solidFill>
          <a:srgbClr val="ffffff"/>
        </a:solidFill>
        <a:ln>
          <a:noFill/>
        </a:ln>
      </c:spPr>
    </c:plotArea>
    <c:legend>
      <c:legendPos val="r"/>
      <c:layout>
        <c:manualLayout>
          <c:xMode val="edge"/>
          <c:yMode val="edge"/>
          <c:x val="0.5366875"/>
          <c:y val="0.0475555555555556"/>
          <c:w val="0.452340771298206"/>
          <c:h val="0.90476719635515"/>
        </c:manualLayout>
      </c:layout>
      <c:overlay val="0"/>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34.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Число пострадавших в результате пожаров</c:v>
                </c:pt>
              </c:strCache>
            </c:strRef>
          </c:tx>
          <c:spPr>
            <a:gradFill>
              <a:gsLst>
                <a:gs pos="0">
                  <a:srgbClr val="515157"/>
                </a:gs>
                <a:gs pos="100000">
                  <a:srgbClr val="6a6a71"/>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6</c:v>
                </c:pt>
                <c:pt idx="1">
                  <c:v>3</c:v>
                </c:pt>
                <c:pt idx="2">
                  <c:v>1</c:v>
                </c:pt>
                <c:pt idx="3">
                  <c:v>6</c:v>
                </c:pt>
                <c:pt idx="4">
                  <c:v>5</c:v>
                </c:pt>
                <c:pt idx="5">
                  <c:v>5</c:v>
                </c:pt>
                <c:pt idx="6">
                  <c:v>5</c:v>
                </c:pt>
                <c:pt idx="7">
                  <c:v>3</c:v>
                </c:pt>
                <c:pt idx="8">
                  <c:v>2</c:v>
                </c:pt>
                <c:pt idx="9">
                  <c:v>4</c:v>
                </c:pt>
                <c:pt idx="10">
                  <c:v>4</c:v>
                </c:pt>
              </c:numCache>
            </c:numRef>
          </c:val>
        </c:ser>
        <c:ser>
          <c:idx val="1"/>
          <c:order val="1"/>
          <c:tx>
            <c:strRef>
              <c:f>label 1</c:f>
              <c:strCache>
                <c:ptCount val="1"/>
                <c:pt idx="0">
                  <c:v>Число погибших в результате пожаров</c:v>
                </c:pt>
              </c:strCache>
            </c:strRef>
          </c:tx>
          <c:spPr>
            <a:gradFill>
              <a:gsLst>
                <a:gs pos="0">
                  <a:srgbClr val="7e8d61"/>
                </a:gs>
                <a:gs pos="100000">
                  <a:srgbClr val="a3b87d"/>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1</c:f>
              <c:numCache>
                <c:formatCode>General</c:formatCode>
                <c:ptCount val="11"/>
                <c:pt idx="0">
                  <c:v>4</c:v>
                </c:pt>
                <c:pt idx="1">
                  <c:v>4</c:v>
                </c:pt>
                <c:pt idx="2">
                  <c:v>3</c:v>
                </c:pt>
                <c:pt idx="3">
                  <c:v>0</c:v>
                </c:pt>
                <c:pt idx="4">
                  <c:v>1</c:v>
                </c:pt>
                <c:pt idx="5">
                  <c:v>1</c:v>
                </c:pt>
                <c:pt idx="6">
                  <c:v>1</c:v>
                </c:pt>
                <c:pt idx="7">
                  <c:v>2</c:v>
                </c:pt>
                <c:pt idx="8">
                  <c:v>0</c:v>
                </c:pt>
                <c:pt idx="9">
                  <c:v>1</c:v>
                </c:pt>
                <c:pt idx="10">
                  <c:v>1</c:v>
                </c:pt>
              </c:numCache>
            </c:numRef>
          </c:val>
        </c:ser>
        <c:gapWidth val="150"/>
        <c:overlap val="0"/>
        <c:axId val="37532370"/>
        <c:axId val="97086391"/>
      </c:barChart>
      <c:lineChart>
        <c:grouping val="standard"/>
        <c:varyColors val="0"/>
        <c:ser>
          <c:idx val="2"/>
          <c:order val="2"/>
          <c:tx>
            <c:strRef>
              <c:f>label 2</c:f>
              <c:strCache>
                <c:ptCount val="1"/>
                <c:pt idx="0">
                  <c:v>Число пожаров</c:v>
                </c:pt>
              </c:strCache>
            </c:strRef>
          </c:tx>
          <c:spPr>
            <a:solidFill>
              <a:srgbClr val="baaa93"/>
            </a:solidFill>
            <a:ln w="47520">
              <a:solidFill>
                <a:srgbClr val="baaa93"/>
              </a:solidFill>
              <a:round/>
            </a:ln>
          </c:spPr>
          <c:marker>
            <c:symbol val="square"/>
            <c:size val="5"/>
            <c:spPr>
              <a:solidFill>
                <a:srgbClr val="baaa93"/>
              </a:solidFill>
            </c:spPr>
          </c:marker>
          <c:dPt>
            <c:idx val="1"/>
            <c:marker>
              <c:symbol val="square"/>
              <c:size val="5"/>
              <c:spPr>
                <a:solidFill>
                  <a:srgbClr val="baaa93"/>
                </a:solidFill>
              </c:spPr>
            </c:marker>
          </c:dPt>
          <c:dPt>
            <c:idx val="2"/>
            <c:marker>
              <c:symbol val="square"/>
              <c:size val="5"/>
              <c:spPr>
                <a:solidFill>
                  <a:srgbClr val="baaa93"/>
                </a:solidFill>
              </c:spPr>
            </c:marker>
          </c:dPt>
          <c:dPt>
            <c:idx val="6"/>
            <c:marker>
              <c:symbol val="square"/>
              <c:size val="5"/>
              <c:spPr>
                <a:solidFill>
                  <a:srgbClr val="baaa93"/>
                </a:solidFill>
              </c:spPr>
            </c:marker>
          </c:dPt>
          <c:dPt>
            <c:idx val="7"/>
            <c:marker>
              <c:symbol val="square"/>
              <c:size val="5"/>
              <c:spPr>
                <a:solidFill>
                  <a:srgbClr val="baaa93"/>
                </a:solidFill>
              </c:spPr>
            </c:marker>
          </c:dPt>
          <c:dLbls>
            <c:numFmt formatCode="General" sourceLinked="1"/>
            <c:dLbl>
              <c:idx val="1"/>
              <c:numFmt formatCode="General" sourceLinked="1"/>
              <c:txPr>
                <a:bodyPr/>
                <a:lstStyle/>
                <a:p>
                  <a:pPr>
                    <a:defRPr b="0" sz="1000" spc="-1" strike="noStrike">
                      <a:solidFill>
                        <a:srgbClr val="000000"/>
                      </a:solidFill>
                      <a:latin typeface="Calibri"/>
                    </a:defRPr>
                  </a:pPr>
                </a:p>
              </c:txPr>
              <c:dLblPos val="r"/>
              <c:showLegendKey val="0"/>
              <c:showVal val="1"/>
              <c:showCatName val="0"/>
              <c:showSerName val="0"/>
              <c:showPercent val="0"/>
              <c:separator>; </c:separator>
            </c:dLbl>
            <c:dLbl>
              <c:idx val="2"/>
              <c:numFmt formatCode="General" sourceLinked="1"/>
              <c:txPr>
                <a:bodyPr/>
                <a:lstStyle/>
                <a:p>
                  <a:pPr>
                    <a:defRPr b="0" sz="1000" spc="-1" strike="noStrike">
                      <a:solidFill>
                        <a:srgbClr val="000000"/>
                      </a:solidFill>
                      <a:latin typeface="Calibri"/>
                    </a:defRPr>
                  </a:pPr>
                </a:p>
              </c:txPr>
              <c:dLblPos val="r"/>
              <c:showLegendKey val="0"/>
              <c:showVal val="1"/>
              <c:showCatName val="0"/>
              <c:showSerName val="0"/>
              <c:showPercent val="0"/>
              <c:separator>; </c:separator>
            </c:dLbl>
            <c:dLbl>
              <c:idx val="6"/>
              <c:numFmt formatCode="General" sourceLinked="1"/>
              <c:txPr>
                <a:bodyPr/>
                <a:lstStyle/>
                <a:p>
                  <a:pPr>
                    <a:defRPr b="0" sz="1000" spc="-1" strike="noStrike">
                      <a:solidFill>
                        <a:srgbClr val="000000"/>
                      </a:solidFill>
                      <a:latin typeface="Calibri"/>
                    </a:defRPr>
                  </a:pPr>
                </a:p>
              </c:txPr>
              <c:dLblPos val="r"/>
              <c:showLegendKey val="0"/>
              <c:showVal val="1"/>
              <c:showCatName val="0"/>
              <c:showSerName val="0"/>
              <c:showPercent val="0"/>
              <c:separator>; </c:separator>
            </c:dLbl>
            <c:dLbl>
              <c:idx val="7"/>
              <c:numFmt formatCode="General" sourceLinked="1"/>
              <c:txPr>
                <a:bodyPr/>
                <a:lstStyle/>
                <a:p>
                  <a:pPr>
                    <a:defRPr b="0" sz="1000" spc="-1" strike="noStrike">
                      <a:solidFill>
                        <a:srgbClr val="000000"/>
                      </a:solidFill>
                      <a:latin typeface="Calibri"/>
                    </a:defRPr>
                  </a:pPr>
                </a:p>
              </c:txPr>
              <c:dLblPos val="r"/>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r"/>
            <c:showLegendKey val="0"/>
            <c:showVal val="1"/>
            <c:showCatName val="0"/>
            <c:showSerName val="0"/>
            <c:showPercent val="0"/>
            <c:separator>; </c:separator>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2</c:f>
              <c:numCache>
                <c:formatCode>General</c:formatCode>
                <c:ptCount val="11"/>
                <c:pt idx="0">
                  <c:v>43</c:v>
                </c:pt>
                <c:pt idx="1">
                  <c:v>55</c:v>
                </c:pt>
                <c:pt idx="2">
                  <c:v>82</c:v>
                </c:pt>
                <c:pt idx="3">
                  <c:v>40</c:v>
                </c:pt>
                <c:pt idx="4">
                  <c:v>32</c:v>
                </c:pt>
                <c:pt idx="5">
                  <c:v>39</c:v>
                </c:pt>
                <c:pt idx="6">
                  <c:v>39</c:v>
                </c:pt>
                <c:pt idx="7">
                  <c:v>42</c:v>
                </c:pt>
                <c:pt idx="8">
                  <c:v>28</c:v>
                </c:pt>
                <c:pt idx="9">
                  <c:v>37</c:v>
                </c:pt>
                <c:pt idx="10">
                  <c:v>47</c:v>
                </c:pt>
              </c:numCache>
            </c:numRef>
          </c:val>
          <c:smooth val="0"/>
        </c:ser>
        <c:hiLowLines>
          <c:spPr>
            <a:ln>
              <a:noFill/>
            </a:ln>
          </c:spPr>
        </c:hiLowLines>
        <c:marker val="1"/>
        <c:axId val="36745614"/>
        <c:axId val="8571778"/>
      </c:lineChart>
      <c:catAx>
        <c:axId val="37532370"/>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97086391"/>
        <c:crosses val="autoZero"/>
        <c:auto val="1"/>
        <c:lblAlgn val="ctr"/>
        <c:lblOffset val="100"/>
      </c:catAx>
      <c:valAx>
        <c:axId val="97086391"/>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37532370"/>
        <c:crosses val="autoZero"/>
      </c:valAx>
      <c:catAx>
        <c:axId val="36745614"/>
        <c:scaling>
          <c:orientation val="minMax"/>
        </c:scaling>
        <c:delete val="1"/>
        <c:axPos val="t"/>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8571778"/>
        <c:auto val="1"/>
        <c:lblAlgn val="ctr"/>
        <c:lblOffset val="100"/>
      </c:catAx>
      <c:valAx>
        <c:axId val="8571778"/>
        <c:scaling>
          <c:orientation val="minMax"/>
        </c:scaling>
        <c:delete val="0"/>
        <c:axPos val="r"/>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36745614"/>
        <c:crosses val="max"/>
      </c:valAx>
      <c:spPr>
        <a:solidFill>
          <a:srgbClr val="ffffff"/>
        </a:solidFill>
        <a:ln>
          <a:noFill/>
        </a:ln>
      </c:spPr>
    </c:plotArea>
    <c:legend>
      <c:legendPos val="b"/>
      <c:overlay val="0"/>
      <c:spPr>
        <a:noFill/>
        <a:ln>
          <a:noFill/>
        </a:ln>
      </c:spPr>
      <c:txPr>
        <a:bodyPr/>
        <a:lstStyle/>
        <a:p>
          <a:pPr>
            <a:defRPr b="0" sz="1000" spc="-1" strike="noStrike">
              <a:solidFill>
                <a:srgbClr val="000000"/>
              </a:solidFill>
              <a:latin typeface="Times New Roman"/>
            </a:defRPr>
          </a:pPr>
        </a:p>
      </c:txPr>
    </c:legend>
    <c:plotVisOnly val="1"/>
    <c:dispBlanksAs val="gap"/>
  </c:chart>
  <c:spPr>
    <a:noFill/>
    <a:ln w="9360">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stacked"/>
        <c:varyColors val="0"/>
        <c:ser>
          <c:idx val="0"/>
          <c:order val="0"/>
          <c:tx>
            <c:strRef>
              <c:f>label 0</c:f>
              <c:strCache>
                <c:ptCount val="1"/>
                <c:pt idx="0">
                  <c:v>сельскохозяйственые организации</c:v>
                </c:pt>
              </c:strCache>
            </c:strRef>
          </c:tx>
          <c:spPr>
            <a:gradFill>
              <a:gsLst>
                <a:gs pos="0">
                  <a:srgbClr val="515157"/>
                </a:gs>
                <a:gs pos="100000">
                  <a:srgbClr val="6a6a71"/>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0"/>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137975</c:v>
                </c:pt>
                <c:pt idx="1">
                  <c:v>42614.52</c:v>
                </c:pt>
                <c:pt idx="2">
                  <c:v>238635.09</c:v>
                </c:pt>
                <c:pt idx="3">
                  <c:v>72778</c:v>
                </c:pt>
                <c:pt idx="4">
                  <c:v>271341</c:v>
                </c:pt>
                <c:pt idx="5">
                  <c:v>285739</c:v>
                </c:pt>
                <c:pt idx="6">
                  <c:v>484336</c:v>
                </c:pt>
                <c:pt idx="7">
                  <c:v>522447.5</c:v>
                </c:pt>
                <c:pt idx="8">
                  <c:v>614364</c:v>
                </c:pt>
              </c:numCache>
            </c:numRef>
          </c:val>
        </c:ser>
        <c:ser>
          <c:idx val="1"/>
          <c:order val="1"/>
          <c:tx>
            <c:strRef>
              <c:f>label 1</c:f>
              <c:strCache>
                <c:ptCount val="1"/>
                <c:pt idx="0">
                  <c:v>хозяйства населения</c:v>
                </c:pt>
              </c:strCache>
            </c:strRef>
          </c:tx>
          <c:spPr>
            <a:gradFill>
              <a:gsLst>
                <a:gs pos="0">
                  <a:srgbClr val="7e8d61"/>
                </a:gs>
                <a:gs pos="100000">
                  <a:srgbClr val="a3b87d"/>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0"/>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287663</c:v>
                </c:pt>
                <c:pt idx="1">
                  <c:v>280756.35</c:v>
                </c:pt>
                <c:pt idx="2">
                  <c:v>367513.91</c:v>
                </c:pt>
                <c:pt idx="3">
                  <c:v>340215</c:v>
                </c:pt>
                <c:pt idx="4">
                  <c:v>367663</c:v>
                </c:pt>
                <c:pt idx="5">
                  <c:v>343815</c:v>
                </c:pt>
                <c:pt idx="6">
                  <c:v>383886</c:v>
                </c:pt>
                <c:pt idx="7">
                  <c:v>447215.1</c:v>
                </c:pt>
                <c:pt idx="8">
                  <c:v>406319</c:v>
                </c:pt>
              </c:numCache>
            </c:numRef>
          </c:val>
        </c:ser>
        <c:ser>
          <c:idx val="2"/>
          <c:order val="2"/>
          <c:tx>
            <c:strRef>
              <c:f>label 2</c:f>
              <c:strCache>
                <c:ptCount val="1"/>
                <c:pt idx="0">
                  <c:v>КФХ и ИП</c:v>
                </c:pt>
              </c:strCache>
            </c:strRef>
          </c:tx>
          <c:spPr>
            <a:gradFill>
              <a:gsLst>
                <a:gs pos="0">
                  <a:srgbClr val="91826d"/>
                </a:gs>
                <a:gs pos="100000">
                  <a:srgbClr val="bea98d"/>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showLegendKey val="0"/>
            <c:showVal val="0"/>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2</c:f>
              <c:numCache>
                <c:formatCode>General</c:formatCode>
                <c:ptCount val="9"/>
                <c:pt idx="0">
                  <c:v>23470</c:v>
                </c:pt>
                <c:pt idx="1">
                  <c:v>18309.71</c:v>
                </c:pt>
                <c:pt idx="2">
                  <c:v>15329.45</c:v>
                </c:pt>
                <c:pt idx="3">
                  <c:v>20084</c:v>
                </c:pt>
                <c:pt idx="4">
                  <c:v>32816</c:v>
                </c:pt>
                <c:pt idx="5">
                  <c:v>36317</c:v>
                </c:pt>
                <c:pt idx="6">
                  <c:v>57187</c:v>
                </c:pt>
                <c:pt idx="7">
                  <c:v>75232.4</c:v>
                </c:pt>
                <c:pt idx="8">
                  <c:v>82864</c:v>
                </c:pt>
              </c:numCache>
            </c:numRef>
          </c:val>
        </c:ser>
        <c:gapWidth val="150"/>
        <c:shape val="box"/>
        <c:axId val="22317365"/>
        <c:axId val="88603392"/>
        <c:axId val="0"/>
      </c:bar3DChart>
      <c:catAx>
        <c:axId val="22317365"/>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88603392"/>
        <c:crosses val="autoZero"/>
        <c:auto val="1"/>
        <c:lblAlgn val="ctr"/>
        <c:lblOffset val="100"/>
      </c:catAx>
      <c:valAx>
        <c:axId val="8860339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22317365"/>
        <c:crosses val="autoZero"/>
      </c:valAx>
    </c:plotArea>
    <c:legend>
      <c:legendPos val="r"/>
      <c:layout>
        <c:manualLayout>
          <c:xMode val="edge"/>
          <c:yMode val="edge"/>
          <c:x val="0.1143125"/>
          <c:y val="0.902111111111111"/>
          <c:w val="0.768298018626164"/>
          <c:h val="0.0712301366818535"/>
        </c:manualLayout>
      </c:layout>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Индекс производства продукции сельского хозяйства</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txPr>
              <a:bodyPr/>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120.9</c:v>
                </c:pt>
                <c:pt idx="1">
                  <c:v>57.3</c:v>
                </c:pt>
                <c:pt idx="2">
                  <c:v>176.2</c:v>
                </c:pt>
                <c:pt idx="3">
                  <c:v>69.8</c:v>
                </c:pt>
                <c:pt idx="4">
                  <c:v>130</c:v>
                </c:pt>
                <c:pt idx="5">
                  <c:v>99.7</c:v>
                </c:pt>
                <c:pt idx="6">
                  <c:v>125.8</c:v>
                </c:pt>
                <c:pt idx="7">
                  <c:v>111.1</c:v>
                </c:pt>
                <c:pt idx="8">
                  <c:v>116.4</c:v>
                </c:pt>
              </c:numCache>
            </c:numRef>
          </c:val>
          <c:smooth val="0"/>
        </c:ser>
        <c:ser>
          <c:idx val="1"/>
          <c:order val="1"/>
          <c:tx>
            <c:strRef>
              <c:f>label 1</c:f>
              <c:strCache>
                <c:ptCount val="1"/>
                <c:pt idx="0">
                  <c:v>Индекс производства продукции растениеводства</c:v>
                </c:pt>
              </c:strCache>
            </c:strRef>
          </c:tx>
          <c:spPr>
            <a:solidFill>
              <a:srgbClr val="a3b384"/>
            </a:solidFill>
            <a:ln w="28440">
              <a:solidFill>
                <a:srgbClr val="a3b384"/>
              </a:solidFill>
              <a:round/>
            </a:ln>
          </c:spPr>
          <c:marker>
            <c:symbol val="square"/>
            <c:size val="5"/>
            <c:spPr>
              <a:solidFill>
                <a:srgbClr val="a3b384"/>
              </a:solidFill>
            </c:spPr>
          </c:marker>
          <c:dPt>
            <c:idx val="5"/>
            <c:marker>
              <c:symbol val="square"/>
              <c:size val="5"/>
              <c:spPr>
                <a:solidFill>
                  <a:srgbClr val="a3b384"/>
                </a:solidFill>
              </c:spPr>
            </c:marker>
          </c:dPt>
          <c:dPt>
            <c:idx val="6"/>
            <c:marker>
              <c:symbol val="square"/>
              <c:size val="5"/>
              <c:spPr>
                <a:solidFill>
                  <a:srgbClr val="a3b384"/>
                </a:solidFill>
              </c:spPr>
            </c:marker>
          </c:dPt>
          <c:dPt>
            <c:idx val="7"/>
            <c:marker>
              <c:symbol val="square"/>
              <c:size val="5"/>
              <c:spPr>
                <a:solidFill>
                  <a:srgbClr val="a3b384"/>
                </a:solidFill>
              </c:spPr>
            </c:marker>
          </c:dPt>
          <c:dLbls>
            <c:numFmt formatCode="General" sourceLinked="1"/>
            <c:dLbl>
              <c:idx val="5"/>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6"/>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7"/>
              <c:numFmt formatCode="General"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r"/>
            <c:showLegendKey val="0"/>
            <c:showVal val="1"/>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140.1</c:v>
                </c:pt>
                <c:pt idx="1">
                  <c:v>30.8</c:v>
                </c:pt>
                <c:pt idx="2">
                  <c:v>309.9</c:v>
                </c:pt>
                <c:pt idx="3">
                  <c:v>53.5</c:v>
                </c:pt>
                <c:pt idx="4">
                  <c:v>158.3</c:v>
                </c:pt>
                <c:pt idx="5">
                  <c:v>102.9</c:v>
                </c:pt>
                <c:pt idx="6">
                  <c:v>75</c:v>
                </c:pt>
                <c:pt idx="7">
                  <c:v>98.3</c:v>
                </c:pt>
                <c:pt idx="8">
                  <c:v>139.8</c:v>
                </c:pt>
              </c:numCache>
            </c:numRef>
          </c:val>
          <c:smooth val="0"/>
        </c:ser>
        <c:ser>
          <c:idx val="2"/>
          <c:order val="2"/>
          <c:tx>
            <c:strRef>
              <c:f>label 2</c:f>
              <c:strCache>
                <c:ptCount val="1"/>
                <c:pt idx="0">
                  <c:v>Индекс производства продукции животноводства</c:v>
                </c:pt>
              </c:strCache>
            </c:strRef>
          </c:tx>
          <c:spPr>
            <a:solidFill>
              <a:srgbClr val="baaa93"/>
            </a:solidFill>
            <a:ln w="28440">
              <a:solidFill>
                <a:srgbClr val="baaa93"/>
              </a:solidFill>
              <a:round/>
            </a:ln>
          </c:spPr>
          <c:marker>
            <c:symbol val="square"/>
            <c:size val="5"/>
            <c:spPr>
              <a:solidFill>
                <a:srgbClr val="baaa93"/>
              </a:solidFill>
            </c:spPr>
          </c:marker>
          <c:dLbls>
            <c:numFmt formatCode="General" sourceLinked="1"/>
            <c:txPr>
              <a:bodyPr/>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2</c:f>
              <c:numCache>
                <c:formatCode>General</c:formatCode>
                <c:ptCount val="9"/>
                <c:pt idx="0">
                  <c:v>98.1</c:v>
                </c:pt>
                <c:pt idx="1">
                  <c:v>102.1</c:v>
                </c:pt>
                <c:pt idx="2">
                  <c:v>99.6</c:v>
                </c:pt>
                <c:pt idx="3">
                  <c:v>99.4</c:v>
                </c:pt>
                <c:pt idx="4">
                  <c:v>104.5</c:v>
                </c:pt>
                <c:pt idx="5">
                  <c:v>94.5</c:v>
                </c:pt>
                <c:pt idx="6">
                  <c:v>211.1</c:v>
                </c:pt>
                <c:pt idx="7">
                  <c:v>120.9</c:v>
                </c:pt>
                <c:pt idx="8">
                  <c:v>104.7</c:v>
                </c:pt>
              </c:numCache>
            </c:numRef>
          </c:val>
          <c:smooth val="0"/>
        </c:ser>
        <c:hiLowLines>
          <c:spPr>
            <a:ln>
              <a:noFill/>
            </a:ln>
          </c:spPr>
        </c:hiLowLines>
        <c:marker val="1"/>
        <c:axId val="40251537"/>
        <c:axId val="13355426"/>
      </c:lineChart>
      <c:catAx>
        <c:axId val="40251537"/>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13355426"/>
        <c:crosses val="autoZero"/>
        <c:auto val="1"/>
        <c:lblAlgn val="ctr"/>
        <c:lblOffset val="100"/>
      </c:catAx>
      <c:valAx>
        <c:axId val="1335542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40251537"/>
        <c:crosses val="autoZero"/>
        <c:crossBetween val="midCat"/>
      </c:valAx>
      <c:spPr>
        <a:solidFill>
          <a:srgbClr val="ffffff"/>
        </a:solidFill>
        <a:ln>
          <a:noFill/>
        </a:ln>
      </c:spPr>
    </c:plotArea>
    <c:legend>
      <c:legendPos val="r"/>
      <c:layout>
        <c:manualLayout>
          <c:xMode val="edge"/>
          <c:yMode val="edge"/>
          <c:x val="0.026125"/>
          <c:y val="0.797666666666667"/>
          <c:w val="0.914244640290018"/>
          <c:h val="0.189021002333593"/>
        </c:manualLayout>
      </c:layout>
      <c:overlay val="0"/>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Инвестиции в основоной капитал , млн. руб.</c:v>
                </c:pt>
              </c:strCache>
            </c:strRef>
          </c:tx>
          <c:spPr>
            <a:gradFill>
              <a:gsLst>
                <a:gs pos="0">
                  <a:srgbClr val="515157"/>
                </a:gs>
                <a:gs pos="100000">
                  <a:srgbClr val="6a6a71"/>
                </a:gs>
              </a:gsLst>
              <a:lin ang="16200000"/>
            </a:gradFill>
            <a:ln>
              <a:noFill/>
            </a:ln>
          </c:spPr>
          <c:invertIfNegative val="0"/>
          <c:dLbls>
            <c:numFmt formatCode="General" sourceLinked="1"/>
            <c:txPr>
              <a:bodyPr/>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107.4</c:v>
                </c:pt>
                <c:pt idx="1">
                  <c:v>41.8</c:v>
                </c:pt>
                <c:pt idx="2">
                  <c:v>41.2</c:v>
                </c:pt>
                <c:pt idx="3">
                  <c:v>68.8</c:v>
                </c:pt>
                <c:pt idx="4">
                  <c:v>121.1</c:v>
                </c:pt>
                <c:pt idx="5">
                  <c:v>351.7</c:v>
                </c:pt>
                <c:pt idx="6">
                  <c:v>240.4</c:v>
                </c:pt>
                <c:pt idx="7">
                  <c:v>112.7</c:v>
                </c:pt>
                <c:pt idx="8">
                  <c:v>112.5</c:v>
                </c:pt>
                <c:pt idx="9">
                  <c:v>153.9</c:v>
                </c:pt>
              </c:numCache>
            </c:numRef>
          </c:val>
        </c:ser>
        <c:gapWidth val="75"/>
        <c:overlap val="-25"/>
        <c:axId val="70493128"/>
        <c:axId val="70362135"/>
      </c:barChart>
      <c:lineChart>
        <c:grouping val="standard"/>
        <c:varyColors val="0"/>
        <c:ser>
          <c:idx val="1"/>
          <c:order val="1"/>
          <c:tx>
            <c:strRef>
              <c:f>label 2</c:f>
              <c:strCache>
                <c:ptCount val="1"/>
                <c:pt idx="0">
                  <c:v>Индекс физичекого объёма инвестиций в основоной капитал, %</c:v>
                </c:pt>
              </c:strCache>
            </c:strRef>
          </c:tx>
          <c:spPr>
            <a:solidFill>
              <a:srgbClr val="a3b384"/>
            </a:solidFill>
            <a:ln w="47520">
              <a:solidFill>
                <a:srgbClr val="a3b384"/>
              </a:solidFill>
              <a:round/>
            </a:ln>
          </c:spPr>
          <c:marker>
            <c:symbol val="square"/>
            <c:size val="5"/>
            <c:spPr>
              <a:solidFill>
                <a:srgbClr val="a3b384"/>
              </a:solidFill>
            </c:spPr>
          </c:marker>
          <c:dPt>
            <c:idx val="0"/>
            <c:marker>
              <c:symbol val="square"/>
              <c:size val="5"/>
              <c:spPr>
                <a:solidFill>
                  <a:srgbClr val="a3b384"/>
                </a:solidFill>
              </c:spPr>
            </c:marker>
          </c:dPt>
          <c:dPt>
            <c:idx val="1"/>
            <c:marker>
              <c:symbol val="square"/>
              <c:size val="5"/>
              <c:spPr>
                <a:solidFill>
                  <a:srgbClr val="a3b384"/>
                </a:solidFill>
              </c:spPr>
            </c:marker>
          </c:dPt>
          <c:dPt>
            <c:idx val="3"/>
            <c:marker>
              <c:symbol val="square"/>
              <c:size val="5"/>
              <c:spPr>
                <a:solidFill>
                  <a:srgbClr val="a3b384"/>
                </a:solidFill>
              </c:spPr>
            </c:marker>
          </c:dPt>
          <c:dPt>
            <c:idx val="4"/>
            <c:marker>
              <c:symbol val="square"/>
              <c:size val="5"/>
              <c:spPr>
                <a:solidFill>
                  <a:srgbClr val="a3b384"/>
                </a:solidFill>
              </c:spPr>
            </c:marker>
          </c:dPt>
          <c:dPt>
            <c:idx val="6"/>
            <c:marker>
              <c:symbol val="square"/>
              <c:size val="5"/>
              <c:spPr>
                <a:solidFill>
                  <a:srgbClr val="a3b384"/>
                </a:solidFill>
              </c:spPr>
            </c:marker>
          </c:dPt>
          <c:dPt>
            <c:idx val="7"/>
            <c:marker>
              <c:symbol val="square"/>
              <c:size val="5"/>
              <c:spPr>
                <a:solidFill>
                  <a:srgbClr val="a3b384"/>
                </a:solidFill>
              </c:spPr>
            </c:marker>
          </c:dPt>
          <c:dPt>
            <c:idx val="8"/>
            <c:marker>
              <c:symbol val="square"/>
              <c:size val="5"/>
              <c:spPr>
                <a:solidFill>
                  <a:srgbClr val="a3b384"/>
                </a:solidFill>
              </c:spPr>
            </c:marker>
          </c:dPt>
          <c:dPt>
            <c:idx val="9"/>
            <c:marker>
              <c:symbol val="square"/>
              <c:size val="5"/>
              <c:spPr>
                <a:solidFill>
                  <a:srgbClr val="a3b384"/>
                </a:solidFill>
              </c:spPr>
            </c:marker>
          </c:dPt>
          <c:dLbls>
            <c:numFmt formatCode="0.0" sourceLinked="1"/>
            <c:dLbl>
              <c:idx val="0"/>
              <c:numFmt formatCode="0.0"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1"/>
              <c:numFmt formatCode="0.0"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3"/>
              <c:numFmt formatCode="0.0"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4"/>
              <c:numFmt formatCode="0.0"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6"/>
              <c:numFmt formatCode="0.0"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7"/>
              <c:numFmt formatCode="0.0"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8"/>
              <c:numFmt formatCode="0.0"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dLbl>
              <c:idx val="9"/>
              <c:numFmt formatCode="0.0" sourceLinked="1"/>
              <c:txPr>
                <a:bodyPr/>
                <a:lstStyle/>
                <a:p>
                  <a:pPr>
                    <a:defRPr b="0" sz="1000" spc="-1" strike="noStrike">
                      <a:solidFill>
                        <a:srgbClr val="000000"/>
                      </a:solidFill>
                      <a:latin typeface="Calibri"/>
                    </a:defRPr>
                  </a:pPr>
                </a:p>
              </c:txPr>
              <c:dLblPos val="t"/>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r"/>
            <c:showLegendKey val="0"/>
            <c:showVal val="1"/>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2</c:f>
              <c:numCache>
                <c:formatCode>General</c:formatCode>
                <c:ptCount val="10"/>
                <c:pt idx="0">
                  <c:v>54</c:v>
                </c:pt>
                <c:pt idx="1">
                  <c:v>36.9</c:v>
                </c:pt>
                <c:pt idx="2">
                  <c:v>94.2</c:v>
                </c:pt>
                <c:pt idx="3">
                  <c:v>157</c:v>
                </c:pt>
                <c:pt idx="4">
                  <c:v>167.9</c:v>
                </c:pt>
                <c:pt idx="5">
                  <c:v>278.8</c:v>
                </c:pt>
                <c:pt idx="6">
                  <c:v>65.9</c:v>
                </c:pt>
                <c:pt idx="7">
                  <c:v>42.1</c:v>
                </c:pt>
                <c:pt idx="8">
                  <c:v>95.1</c:v>
                </c:pt>
                <c:pt idx="9">
                  <c:v>146.8</c:v>
                </c:pt>
              </c:numCache>
            </c:numRef>
          </c:val>
          <c:smooth val="0"/>
        </c:ser>
        <c:hiLowLines>
          <c:spPr>
            <a:ln>
              <a:noFill/>
            </a:ln>
          </c:spPr>
        </c:hiLowLines>
        <c:marker val="1"/>
        <c:axId val="70493128"/>
        <c:axId val="70362135"/>
      </c:lineChart>
      <c:lineChart>
        <c:grouping val="standard"/>
        <c:varyColors val="0"/>
        <c:ser>
          <c:idx val="2"/>
          <c:order val="2"/>
          <c:tx>
            <c:strRef>
              <c:f>label 1</c:f>
              <c:strCache>
                <c:ptCount val="1"/>
                <c:pt idx="0">
                  <c:v>Объём инветиций в основной капитал на душу населения, тыс. руб</c:v>
                </c:pt>
              </c:strCache>
            </c:strRef>
          </c:tx>
          <c:spPr>
            <a:solidFill>
              <a:srgbClr val="baaa93"/>
            </a:solidFill>
            <a:ln w="47520">
              <a:solidFill>
                <a:srgbClr val="baaa93"/>
              </a:solidFill>
              <a:round/>
            </a:ln>
          </c:spPr>
          <c:marker>
            <c:symbol val="square"/>
            <c:size val="5"/>
            <c:spPr>
              <a:solidFill>
                <a:srgbClr val="baaa93"/>
              </a:solidFill>
            </c:spPr>
          </c:marker>
          <c:dLbls>
            <c:numFmt formatCode="0.0" sourceLinked="1"/>
            <c:txPr>
              <a:bodyPr/>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5.59375</c:v>
                </c:pt>
                <c:pt idx="1">
                  <c:v>2.2</c:v>
                </c:pt>
                <c:pt idx="2">
                  <c:v>2.19148936170213</c:v>
                </c:pt>
                <c:pt idx="3">
                  <c:v>3.69892473118279</c:v>
                </c:pt>
                <c:pt idx="4">
                  <c:v>6.58152173913043</c:v>
                </c:pt>
                <c:pt idx="5">
                  <c:v>19.3241758241758</c:v>
                </c:pt>
                <c:pt idx="6">
                  <c:v>13.3555555555556</c:v>
                </c:pt>
                <c:pt idx="7">
                  <c:v>6.3314606741573</c:v>
                </c:pt>
                <c:pt idx="8">
                  <c:v>6.35593220338983</c:v>
                </c:pt>
                <c:pt idx="9">
                  <c:v>8.79428571428572</c:v>
                </c:pt>
              </c:numCache>
            </c:numRef>
          </c:val>
          <c:smooth val="0"/>
        </c:ser>
        <c:hiLowLines>
          <c:spPr>
            <a:ln>
              <a:noFill/>
            </a:ln>
          </c:spPr>
        </c:hiLowLines>
        <c:marker val="1"/>
        <c:axId val="91210156"/>
        <c:axId val="48424515"/>
      </c:lineChart>
      <c:catAx>
        <c:axId val="70493128"/>
        <c:scaling>
          <c:orientation val="minMax"/>
        </c:scaling>
        <c:delete val="1"/>
        <c:axPos val="b"/>
        <c:numFmt formatCode="[$-419]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70362135"/>
        <c:auto val="1"/>
        <c:lblAlgn val="ctr"/>
        <c:lblOffset val="100"/>
      </c:catAx>
      <c:valAx>
        <c:axId val="70362135"/>
        <c:scaling>
          <c:orientation val="minMax"/>
        </c:scaling>
        <c:delete val="0"/>
        <c:axPos val="l"/>
        <c:numFmt formatCode="0.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70493128"/>
        <c:crosses val="max"/>
      </c:valAx>
      <c:catAx>
        <c:axId val="91210156"/>
        <c:scaling>
          <c:orientation val="minMax"/>
        </c:scaling>
        <c:delete val="1"/>
        <c:axPos val="t"/>
        <c:numFmt formatCode="[$-419]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8424515"/>
        <c:auto val="1"/>
        <c:lblAlgn val="ctr"/>
        <c:lblOffset val="100"/>
      </c:catAx>
      <c:valAx>
        <c:axId val="48424515"/>
        <c:scaling>
          <c:orientation val="minMax"/>
        </c:scaling>
        <c:delete val="1"/>
        <c:axPos val="r"/>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91210156"/>
      </c:valAx>
      <c:spPr>
        <a:no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noFill/>
    <a:ln w="9360">
      <a:noFill/>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2008 г.</c:v>
                </c:pt>
              </c:strCache>
            </c:strRef>
          </c:tx>
          <c:spPr>
            <a:gradFill>
              <a:gsLst>
                <a:gs pos="0">
                  <a:srgbClr val="515157"/>
                </a:gs>
                <a:gs pos="100000">
                  <a:srgbClr val="6a6a71"/>
                </a:gs>
              </a:gsLst>
              <a:lin ang="16200000"/>
            </a:gradFill>
            <a:ln>
              <a:noFill/>
            </a:ln>
          </c:spPr>
          <c:explosion val="0"/>
          <c:dPt>
            <c:idx val="0"/>
            <c:spPr>
              <a:gradFill>
                <a:gsLst>
                  <a:gs pos="0">
                    <a:srgbClr val="515157"/>
                  </a:gs>
                  <a:gs pos="100000">
                    <a:srgbClr val="6a6a71"/>
                  </a:gs>
                </a:gsLst>
                <a:lin ang="16200000"/>
              </a:gradFill>
              <a:ln>
                <a:noFill/>
              </a:ln>
            </c:spPr>
          </c:dPt>
          <c:dPt>
            <c:idx val="1"/>
            <c:spPr>
              <a:gradFill>
                <a:gsLst>
                  <a:gs pos="0">
                    <a:srgbClr val="7e8d61"/>
                  </a:gs>
                  <a:gs pos="100000">
                    <a:srgbClr val="a3b87d"/>
                  </a:gs>
                </a:gsLst>
                <a:lin ang="16200000"/>
              </a:gradFill>
              <a:ln>
                <a:noFill/>
              </a:ln>
            </c:spPr>
          </c:dPt>
          <c:dPt>
            <c:idx val="2"/>
            <c:spPr>
              <a:gradFill>
                <a:gsLst>
                  <a:gs pos="0">
                    <a:srgbClr val="91826d"/>
                  </a:gs>
                  <a:gs pos="100000">
                    <a:srgbClr val="bea98d"/>
                  </a:gs>
                </a:gsLst>
                <a:lin ang="16200000"/>
              </a:gradFill>
              <a:ln>
                <a:noFill/>
              </a:ln>
            </c:spPr>
          </c:dPt>
          <c:dPt>
            <c:idx val="3"/>
            <c:spPr>
              <a:gradFill>
                <a:gsLst>
                  <a:gs pos="0">
                    <a:srgbClr val="687f8e"/>
                  </a:gs>
                  <a:gs pos="100000">
                    <a:srgbClr val="87a4b9"/>
                  </a:gs>
                </a:gsLst>
                <a:lin ang="16200000"/>
              </a:gradFill>
              <a:ln>
                <a:noFill/>
              </a:ln>
            </c:spPr>
          </c:dPt>
          <c:dLbls>
            <c:numFmt formatCode="General" sourceLinked="1"/>
            <c:dLbl>
              <c:idx val="0"/>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dLbl>
              <c:idx val="1"/>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dLbl>
              <c:idx val="2"/>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dLbl>
              <c:idx val="3"/>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4"/>
                <c:pt idx="0">
                  <c:v>Собственные средства</c:v>
                </c:pt>
                <c:pt idx="1">
                  <c:v>Средства федерального бюджета</c:v>
                </c:pt>
                <c:pt idx="2">
                  <c:v>Средства областного бюджета</c:v>
                </c:pt>
                <c:pt idx="3">
                  <c:v>Внебюджетные средства</c:v>
                </c:pt>
              </c:strCache>
            </c:strRef>
          </c:cat>
          <c:val>
            <c:numRef>
              <c:f>0</c:f>
              <c:numCache>
                <c:formatCode>General</c:formatCode>
                <c:ptCount val="4"/>
                <c:pt idx="0">
                  <c:v>10.3</c:v>
                </c:pt>
                <c:pt idx="1">
                  <c:v>24.7</c:v>
                </c:pt>
                <c:pt idx="2">
                  <c:v>22.3</c:v>
                </c:pt>
                <c:pt idx="3">
                  <c:v>42.7</c:v>
                </c:pt>
              </c:numCache>
            </c:numRef>
          </c:val>
        </c:ser>
        <c:firstSliceAng val="0"/>
      </c:pieChart>
      <c:spPr>
        <a:solidFill>
          <a:srgbClr val="ffffff"/>
        </a:solidFill>
        <a:ln>
          <a:noFill/>
        </a:ln>
      </c:spPr>
    </c:plotArea>
    <c:plotVisOnly val="1"/>
    <c:dispBlanksAs val="gap"/>
  </c:chart>
  <c:spPr>
    <a:noFill/>
    <a:ln w="9360">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2012 г.</c:v>
                </c:pt>
              </c:strCache>
            </c:strRef>
          </c:tx>
          <c:spPr>
            <a:gradFill>
              <a:gsLst>
                <a:gs pos="0">
                  <a:srgbClr val="515157"/>
                </a:gs>
                <a:gs pos="100000">
                  <a:srgbClr val="6a6a71"/>
                </a:gs>
              </a:gsLst>
              <a:lin ang="16200000"/>
            </a:gradFill>
            <a:ln>
              <a:noFill/>
            </a:ln>
          </c:spPr>
          <c:explosion val="0"/>
          <c:dPt>
            <c:idx val="0"/>
            <c:spPr>
              <a:gradFill>
                <a:gsLst>
                  <a:gs pos="0">
                    <a:srgbClr val="515157"/>
                  </a:gs>
                  <a:gs pos="100000">
                    <a:srgbClr val="6a6a71"/>
                  </a:gs>
                </a:gsLst>
                <a:lin ang="16200000"/>
              </a:gradFill>
              <a:ln>
                <a:noFill/>
              </a:ln>
            </c:spPr>
          </c:dPt>
          <c:dPt>
            <c:idx val="1"/>
            <c:spPr>
              <a:gradFill>
                <a:gsLst>
                  <a:gs pos="0">
                    <a:srgbClr val="7e8d61"/>
                  </a:gs>
                  <a:gs pos="100000">
                    <a:srgbClr val="a3b87d"/>
                  </a:gs>
                </a:gsLst>
                <a:lin ang="16200000"/>
              </a:gradFill>
              <a:ln>
                <a:noFill/>
              </a:ln>
            </c:spPr>
          </c:dPt>
          <c:dPt>
            <c:idx val="2"/>
            <c:spPr>
              <a:gradFill>
                <a:gsLst>
                  <a:gs pos="0">
                    <a:srgbClr val="91826d"/>
                  </a:gs>
                  <a:gs pos="100000">
                    <a:srgbClr val="bea98d"/>
                  </a:gs>
                </a:gsLst>
                <a:lin ang="16200000"/>
              </a:gradFill>
              <a:ln>
                <a:noFill/>
              </a:ln>
            </c:spPr>
          </c:dPt>
          <c:dPt>
            <c:idx val="3"/>
            <c:spPr>
              <a:gradFill>
                <a:gsLst>
                  <a:gs pos="0">
                    <a:srgbClr val="687f8e"/>
                  </a:gs>
                  <a:gs pos="100000">
                    <a:srgbClr val="87a4b9"/>
                  </a:gs>
                </a:gsLst>
                <a:lin ang="16200000"/>
              </a:gradFill>
              <a:ln>
                <a:noFill/>
              </a:ln>
            </c:spPr>
          </c:dPt>
          <c:dLbls>
            <c:numFmt formatCode="General" sourceLinked="1"/>
            <c:dLbl>
              <c:idx val="0"/>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dLbl>
              <c:idx val="1"/>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dLbl>
              <c:idx val="2"/>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dLbl>
              <c:idx val="3"/>
              <c:numFmt formatCode="General" sourceLinked="1"/>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ctr"/>
            <c:showLegendKey val="0"/>
            <c:showVal val="1"/>
            <c:showCatName val="0"/>
            <c:showSerName val="0"/>
            <c:showPercent val="0"/>
            <c:separator>; </c:separator>
            <c:showLeaderLines val="0"/>
          </c:dLbls>
          <c:cat>
            <c:strRef>
              <c:f>categories</c:f>
              <c:strCache>
                <c:ptCount val="4"/>
                <c:pt idx="0">
                  <c:v>Собственные средства</c:v>
                </c:pt>
                <c:pt idx="1">
                  <c:v>Средства федерального бюджета</c:v>
                </c:pt>
                <c:pt idx="2">
                  <c:v>Средства областного бюджета</c:v>
                </c:pt>
                <c:pt idx="3">
                  <c:v>Привлеченные средства</c:v>
                </c:pt>
              </c:strCache>
            </c:strRef>
          </c:cat>
          <c:val>
            <c:numRef>
              <c:f>0</c:f>
              <c:numCache>
                <c:formatCode>General</c:formatCode>
                <c:ptCount val="4"/>
                <c:pt idx="0">
                  <c:v>31.4</c:v>
                </c:pt>
                <c:pt idx="1">
                  <c:v>20.6</c:v>
                </c:pt>
                <c:pt idx="2">
                  <c:v>15.6</c:v>
                </c:pt>
                <c:pt idx="3">
                  <c:v>32.4</c:v>
                </c:pt>
              </c:numCache>
            </c:numRef>
          </c:val>
        </c:ser>
        <c:firstSliceAng val="0"/>
      </c:pieChart>
      <c:spPr>
        <a:solidFill>
          <a:srgbClr val="ffffff"/>
        </a:solidFill>
        <a:ln>
          <a:noFill/>
        </a:ln>
      </c:spPr>
    </c:plotArea>
    <c:plotVisOnly val="1"/>
    <c:dispBlanksAs val="gap"/>
  </c:chart>
  <c:spPr>
    <a:noFill/>
    <a:ln w="9360">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2017 г.</c:v>
                </c:pt>
              </c:strCache>
            </c:strRef>
          </c:tx>
          <c:spPr>
            <a:gradFill>
              <a:gsLst>
                <a:gs pos="0">
                  <a:srgbClr val="515157"/>
                </a:gs>
                <a:gs pos="100000">
                  <a:srgbClr val="6a6a71"/>
                </a:gs>
              </a:gsLst>
              <a:lin ang="16200000"/>
            </a:gradFill>
            <a:ln>
              <a:noFill/>
            </a:ln>
          </c:spPr>
          <c:explosion val="0"/>
          <c:dPt>
            <c:idx val="0"/>
            <c:spPr>
              <a:gradFill>
                <a:gsLst>
                  <a:gs pos="0">
                    <a:srgbClr val="515157"/>
                  </a:gs>
                  <a:gs pos="100000">
                    <a:srgbClr val="6a6a71"/>
                  </a:gs>
                </a:gsLst>
                <a:lin ang="16200000"/>
              </a:gradFill>
              <a:ln>
                <a:noFill/>
              </a:ln>
            </c:spPr>
          </c:dPt>
          <c:dPt>
            <c:idx val="1"/>
            <c:spPr>
              <a:gradFill>
                <a:gsLst>
                  <a:gs pos="0">
                    <a:srgbClr val="7e8d61"/>
                  </a:gs>
                  <a:gs pos="100000">
                    <a:srgbClr val="a3b87d"/>
                  </a:gs>
                </a:gsLst>
                <a:lin ang="16200000"/>
              </a:gradFill>
              <a:ln>
                <a:noFill/>
              </a:ln>
            </c:spPr>
          </c:dPt>
          <c:dPt>
            <c:idx val="2"/>
            <c:spPr>
              <a:gradFill>
                <a:gsLst>
                  <a:gs pos="0">
                    <a:srgbClr val="91826d"/>
                  </a:gs>
                  <a:gs pos="100000">
                    <a:srgbClr val="bea98d"/>
                  </a:gs>
                </a:gsLst>
                <a:lin ang="16200000"/>
              </a:gradFill>
              <a:ln>
                <a:noFill/>
              </a:ln>
            </c:spPr>
          </c:dPt>
          <c:dPt>
            <c:idx val="3"/>
            <c:spPr>
              <a:gradFill>
                <a:gsLst>
                  <a:gs pos="0">
                    <a:srgbClr val="687f8e"/>
                  </a:gs>
                  <a:gs pos="100000">
                    <a:srgbClr val="87a4b9"/>
                  </a:gs>
                </a:gsLst>
                <a:lin ang="16200000"/>
              </a:gradFill>
              <a:ln>
                <a:noFill/>
              </a:ln>
            </c:spPr>
          </c:dPt>
          <c:dLbls>
            <c:numFmt formatCode="General" sourceLinked="1"/>
            <c:dLbl>
              <c:idx val="0"/>
              <c:numFmt formatCode="General"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1"/>
              <c:numFmt formatCode="General"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2"/>
              <c:numFmt formatCode="General"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dLbl>
              <c:idx val="3"/>
              <c:numFmt formatCode="General" sourceLinked="1"/>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dLbl>
            <c:txPr>
              <a:bodyPr/>
              <a:lstStyle/>
              <a:p>
                <a:pPr>
                  <a:defRPr b="0" sz="1000" spc="-1" strike="noStrike">
                    <a:solidFill>
                      <a:srgbClr val="000000"/>
                    </a:solidFill>
                    <a:latin typeface="Calibri"/>
                  </a:defRPr>
                </a:pPr>
              </a:p>
            </c:txPr>
            <c:dLblPos val="bestFit"/>
            <c:showLegendKey val="0"/>
            <c:showVal val="1"/>
            <c:showCatName val="0"/>
            <c:showSerName val="0"/>
            <c:showPercent val="0"/>
            <c:separator>; </c:separator>
            <c:showLeaderLines val="0"/>
          </c:dLbls>
          <c:cat>
            <c:strRef>
              <c:f>categories</c:f>
              <c:strCache>
                <c:ptCount val="4"/>
                <c:pt idx="0">
                  <c:v>Собственные средства</c:v>
                </c:pt>
                <c:pt idx="1">
                  <c:v>Средства федерального бюджета</c:v>
                </c:pt>
                <c:pt idx="2">
                  <c:v>Средства областного бюджета</c:v>
                </c:pt>
                <c:pt idx="3">
                  <c:v>Привлеченные средства</c:v>
                </c:pt>
              </c:strCache>
            </c:strRef>
          </c:cat>
          <c:val>
            <c:numRef>
              <c:f>0</c:f>
              <c:numCache>
                <c:formatCode>General</c:formatCode>
                <c:ptCount val="4"/>
                <c:pt idx="0">
                  <c:v>88.7</c:v>
                </c:pt>
                <c:pt idx="1">
                  <c:v>1.8</c:v>
                </c:pt>
                <c:pt idx="2">
                  <c:v>8.6</c:v>
                </c:pt>
                <c:pt idx="3">
                  <c:v>0.9</c:v>
                </c:pt>
              </c:numCache>
            </c:numRef>
          </c:val>
        </c:ser>
        <c:firstSliceAng val="0"/>
      </c:pieChart>
      <c:spPr>
        <a:solidFill>
          <a:srgbClr val="ffffff"/>
        </a:solidFill>
        <a:ln>
          <a:noFill/>
        </a:ln>
      </c:spPr>
    </c:plotArea>
    <c:legend>
      <c:legendPos val="r"/>
      <c:layout>
        <c:manualLayout>
          <c:xMode val="edge"/>
          <c:yMode val="edge"/>
          <c:x val="0.49475"/>
          <c:y val="0.00488888888888889"/>
          <c:w val="0.45646602912682"/>
          <c:h val="0.815090565618402"/>
        </c:manualLayout>
      </c:layout>
      <c:overlay val="0"/>
      <c:spPr>
        <a:noFill/>
        <a:ln>
          <a:noFill/>
        </a:ln>
      </c:spPr>
      <c:txPr>
        <a:bodyPr/>
        <a:lstStyle/>
        <a:p>
          <a:pPr>
            <a:defRPr b="0" sz="800" spc="-1" strike="noStrike">
              <a:solidFill>
                <a:srgbClr val="000000"/>
              </a:solidFill>
              <a:latin typeface="Times New Roman"/>
            </a:defRPr>
          </a:pPr>
        </a:p>
      </c:txPr>
    </c:legend>
    <c:plotVisOnly val="1"/>
    <c:dispBlanksAs val="gap"/>
  </c:chart>
  <c:spPr>
    <a:noFill/>
    <a:ln w="9360">
      <a:noFill/>
    </a:ln>
  </c:spPr>
  <c:externalData r:id="rId1"/>
</c:chartSpace>
</file>

<file path=word/theme/theme1.xml><?xml version="1.0" encoding="utf-8"?>
<a:theme xmlns:a="http://schemas.openxmlformats.org/drawingml/2006/main" name="Тема Offic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«____» ___________2019 г.</PublishDate>
  <Abstract/>
  <CompanyAddress/>
  <CompanyPhone/>
  <CompanyFax/>
  <CompanyEmail/>
</CoverPageProperties>
</file>

<file path=customXml/itemProps1.xml><?xml version="1.0" encoding="utf-8"?>
<ds:datastoreItem xmlns:ds="http://schemas.openxmlformats.org/officeDocument/2006/customXml" ds:itemID="{79BBE287-E916-4FB0-A0BB-2600AFF91494}">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Application>LibreOffice/6.3.5.2$Linux_X86_64 LibreOffice_project/30$Build-2</Application>
  <Pages>46</Pages>
  <Words>24235</Words>
  <Characters>175664</Characters>
  <CharactersWithSpaces>197335</CharactersWithSpaces>
  <Paragraphs>2792</Paragraphs>
  <Company>Автономная некоммерческая организация                                                                                   «центр стратегических исследований ульяновской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2019-03-25T06:58:00Z</dcterms:created>
  <dc:creator>potapova</dc:creator>
  <dc:description/>
  <dc:language>ru-RU</dc:language>
  <cp:lastModifiedBy/>
  <cp:lastPrinted>2019-03-25T07:48:00Z</cp:lastPrinted>
  <dcterms:modified xsi:type="dcterms:W3CDTF">2019-06-24T17:55:13Z</dcterms:modified>
  <cp:revision>21</cp:revision>
  <dc:subject>«Внесение изменений (корректировка)                    в Стратегию социально-экономического развития муниципального образования «Тереньгульский район» Ульяновской области до 2030 года»</dc:subject>
  <dc:title>ОТЧЁТ                                         о результатах научно-исследовательской работы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Автономная некоммерческая организация                                                                                   «центр стратегических исследований ульяновской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